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0C474" w14:textId="7E471520" w:rsidR="00437409" w:rsidRPr="00073929" w:rsidRDefault="00437409" w:rsidP="00073929">
      <w:pPr>
        <w:pStyle w:val="Sinespaciado"/>
        <w:jc w:val="center"/>
        <w:rPr>
          <w:rFonts w:ascii="Arial Narrow" w:hAnsi="Arial Narrow"/>
          <w:spacing w:val="-2"/>
          <w:sz w:val="24"/>
          <w:szCs w:val="22"/>
          <w:lang w:val="es-CO"/>
        </w:rPr>
      </w:pPr>
      <w:r w:rsidRPr="00073929">
        <w:rPr>
          <w:rFonts w:ascii="Arial Narrow" w:hAnsi="Arial Narrow"/>
          <w:sz w:val="24"/>
          <w:szCs w:val="22"/>
          <w:lang w:val="es-ES"/>
        </w:rPr>
        <w:t xml:space="preserve">Por la cual se </w:t>
      </w:r>
      <w:r w:rsidR="008A14C9" w:rsidRPr="00073929">
        <w:rPr>
          <w:rFonts w:ascii="Arial Narrow" w:hAnsi="Arial Narrow"/>
          <w:sz w:val="24"/>
          <w:szCs w:val="22"/>
          <w:lang w:val="es-ES"/>
        </w:rPr>
        <w:t xml:space="preserve">establecen </w:t>
      </w:r>
      <w:r w:rsidRPr="00073929">
        <w:rPr>
          <w:rFonts w:ascii="Arial Narrow" w:hAnsi="Arial Narrow"/>
          <w:sz w:val="24"/>
          <w:szCs w:val="22"/>
          <w:lang w:val="es-ES"/>
        </w:rPr>
        <w:t>las tarifas</w:t>
      </w:r>
      <w:r w:rsidR="00F53A2D" w:rsidRPr="00073929">
        <w:rPr>
          <w:rFonts w:ascii="Arial Narrow" w:hAnsi="Arial Narrow"/>
          <w:sz w:val="24"/>
          <w:szCs w:val="22"/>
          <w:lang w:val="es-ES"/>
        </w:rPr>
        <w:t xml:space="preserve"> diferenciales</w:t>
      </w:r>
      <w:r w:rsidRPr="00073929">
        <w:rPr>
          <w:rFonts w:ascii="Arial Narrow" w:hAnsi="Arial Narrow"/>
          <w:sz w:val="24"/>
          <w:szCs w:val="22"/>
          <w:lang w:val="es-ES"/>
        </w:rPr>
        <w:t xml:space="preserve"> por concepto de Contribución Especial de Vigilancia que deben pagar a la Superintendencia de Transporte la totalidad de los sujetos sometidos a su vigilancia, inspección y control,</w:t>
      </w:r>
      <w:r w:rsidR="002B3EE9" w:rsidRPr="00073929">
        <w:rPr>
          <w:rFonts w:ascii="Arial Narrow" w:hAnsi="Arial Narrow"/>
          <w:sz w:val="24"/>
          <w:szCs w:val="22"/>
          <w:lang w:val="es-ES"/>
        </w:rPr>
        <w:t xml:space="preserve"> para la vigencia fiscal 2020</w:t>
      </w:r>
      <w:r w:rsidRPr="00073929">
        <w:rPr>
          <w:rFonts w:ascii="Arial Narrow" w:hAnsi="Arial Narrow"/>
          <w:sz w:val="24"/>
          <w:szCs w:val="22"/>
          <w:lang w:val="es-CO"/>
        </w:rPr>
        <w:t>.</w:t>
      </w:r>
    </w:p>
    <w:p w14:paraId="761D5F45" w14:textId="77777777" w:rsidR="00205B9B" w:rsidRPr="00C94895" w:rsidRDefault="00205B9B" w:rsidP="00437409">
      <w:pPr>
        <w:ind w:right="50"/>
        <w:jc w:val="both"/>
        <w:rPr>
          <w:rFonts w:ascii="Arial Narrow" w:hAnsi="Arial Narrow" w:cs="Arial"/>
          <w:sz w:val="24"/>
          <w:szCs w:val="24"/>
          <w:lang w:val="es-CO"/>
        </w:rPr>
      </w:pPr>
    </w:p>
    <w:p w14:paraId="5FDCBEB2" w14:textId="77777777" w:rsidR="00437409" w:rsidRPr="00C94895" w:rsidRDefault="0069442E" w:rsidP="00437409">
      <w:pPr>
        <w:ind w:right="50"/>
        <w:jc w:val="center"/>
        <w:rPr>
          <w:rFonts w:ascii="Arial Narrow" w:hAnsi="Arial Narrow" w:cs="Arial"/>
          <w:b/>
          <w:sz w:val="24"/>
          <w:szCs w:val="24"/>
          <w:lang w:val="es-CO"/>
        </w:rPr>
      </w:pPr>
      <w:r>
        <w:rPr>
          <w:rFonts w:ascii="Arial Narrow" w:hAnsi="Arial Narrow" w:cs="Arial"/>
          <w:b/>
          <w:sz w:val="24"/>
          <w:szCs w:val="24"/>
          <w:lang w:val="es-CO"/>
        </w:rPr>
        <w:t>EL</w:t>
      </w:r>
      <w:r w:rsidR="00437409" w:rsidRPr="00C94895">
        <w:rPr>
          <w:rFonts w:ascii="Arial Narrow" w:hAnsi="Arial Narrow" w:cs="Arial"/>
          <w:b/>
          <w:sz w:val="24"/>
          <w:szCs w:val="24"/>
          <w:lang w:val="es-CO"/>
        </w:rPr>
        <w:t xml:space="preserve"> SUPERINTENDENTE DE TRANSPORTE </w:t>
      </w:r>
    </w:p>
    <w:p w14:paraId="328C8A68" w14:textId="77777777" w:rsidR="00437409" w:rsidRPr="00C94895" w:rsidRDefault="00437409" w:rsidP="00437409">
      <w:pPr>
        <w:ind w:right="50"/>
        <w:jc w:val="both"/>
        <w:rPr>
          <w:rFonts w:ascii="Arial Narrow" w:hAnsi="Arial Narrow" w:cs="Arial"/>
          <w:sz w:val="24"/>
          <w:szCs w:val="24"/>
          <w:lang w:val="es-CO"/>
        </w:rPr>
      </w:pPr>
    </w:p>
    <w:p w14:paraId="54A68628" w14:textId="77777777" w:rsidR="00205B9B" w:rsidRPr="00C94895" w:rsidRDefault="00437409" w:rsidP="00437409">
      <w:pPr>
        <w:ind w:right="50"/>
        <w:jc w:val="both"/>
        <w:rPr>
          <w:rFonts w:ascii="Arial Narrow" w:hAnsi="Arial Narrow" w:cs="Arial"/>
          <w:sz w:val="24"/>
          <w:szCs w:val="24"/>
          <w:lang w:val="es-CO"/>
        </w:rPr>
      </w:pPr>
      <w:r w:rsidRPr="00C94895">
        <w:rPr>
          <w:rFonts w:ascii="Arial Narrow" w:hAnsi="Arial Narrow" w:cs="Arial"/>
          <w:sz w:val="24"/>
          <w:szCs w:val="24"/>
          <w:lang w:val="es-CO"/>
        </w:rPr>
        <w:t>En ejercicio de las facultades legales y en especial las que le confiere el artículo 108 de la Ley 1955 de 2019, el artículo 36 de la Ley 1753 de 2015, el artículo 5 del Decreto 2409 de 2018 y;</w:t>
      </w:r>
    </w:p>
    <w:p w14:paraId="13758639" w14:textId="77777777" w:rsidR="00437409" w:rsidRPr="00C94895" w:rsidRDefault="00437409" w:rsidP="00437409">
      <w:pPr>
        <w:pStyle w:val="Prrafodelista"/>
        <w:spacing w:before="240"/>
        <w:ind w:left="426" w:right="50"/>
        <w:jc w:val="center"/>
        <w:rPr>
          <w:rFonts w:ascii="Arial Narrow" w:hAnsi="Arial Narrow" w:cs="Arial"/>
          <w:b/>
          <w:szCs w:val="24"/>
        </w:rPr>
      </w:pPr>
      <w:r w:rsidRPr="00C94895">
        <w:rPr>
          <w:rFonts w:ascii="Arial Narrow" w:hAnsi="Arial Narrow" w:cs="Arial"/>
          <w:b/>
          <w:szCs w:val="24"/>
        </w:rPr>
        <w:t>CONSIDERANDO</w:t>
      </w:r>
    </w:p>
    <w:p w14:paraId="1EAAFC72" w14:textId="77777777" w:rsidR="00437409" w:rsidRPr="00C94895" w:rsidRDefault="00437409" w:rsidP="00437409">
      <w:pPr>
        <w:ind w:left="426" w:right="50" w:hanging="426"/>
        <w:rPr>
          <w:rFonts w:ascii="Arial Narrow" w:hAnsi="Arial Narrow" w:cs="Arial"/>
          <w:b/>
          <w:sz w:val="24"/>
          <w:szCs w:val="24"/>
        </w:rPr>
      </w:pPr>
    </w:p>
    <w:p w14:paraId="20A35CAF" w14:textId="77777777" w:rsidR="00437409" w:rsidRPr="00C94895" w:rsidRDefault="00437409" w:rsidP="00437409">
      <w:pPr>
        <w:ind w:right="50"/>
        <w:jc w:val="both"/>
        <w:rPr>
          <w:rFonts w:ascii="Arial Narrow" w:hAnsi="Arial Narrow" w:cs="Calibri"/>
          <w:sz w:val="24"/>
          <w:szCs w:val="24"/>
          <w:shd w:val="clear" w:color="auto" w:fill="FFFFFF"/>
        </w:rPr>
      </w:pPr>
      <w:r w:rsidRPr="00C94895">
        <w:rPr>
          <w:rFonts w:ascii="Arial Narrow" w:hAnsi="Arial Narrow" w:cs="Calibri"/>
          <w:sz w:val="24"/>
          <w:szCs w:val="24"/>
          <w:shd w:val="clear" w:color="auto" w:fill="FFFFFF"/>
        </w:rPr>
        <w:t xml:space="preserve">Que el artículo 36 de la Ley 1753 de 2015, por la cual se expide el Plan Nacional de Desarrollo 2014-2018, sustituyó la tasa de vigilancia creada por el numeral 2 del artículo 27 de la Ley 1ª de 1991 y ampliada por el artículo 89 de la Ley 1450 de 2011, por una contribución especial de vigilancia y fijó los criterios para establecer su tarifa y liquidar el monto de la misma, la cual tiene como fin cubrir los costos y gastos de funcionamiento e inversión de la entonces denominada Superintendencia de Puertos y Transporte, ahora Superintendencia de Transporte, y debe ser pagada por todas las personas naturales y jurídicas sometidas a su vigilancia, inspección y control. </w:t>
      </w:r>
    </w:p>
    <w:p w14:paraId="3627730D" w14:textId="77777777" w:rsidR="00437409" w:rsidRPr="00C94895" w:rsidRDefault="00437409" w:rsidP="00437409">
      <w:pPr>
        <w:ind w:right="50"/>
        <w:jc w:val="both"/>
        <w:rPr>
          <w:rFonts w:ascii="Arial Narrow" w:hAnsi="Arial Narrow" w:cs="Calibri"/>
          <w:sz w:val="24"/>
          <w:szCs w:val="24"/>
          <w:shd w:val="clear" w:color="auto" w:fill="FFFFFF"/>
        </w:rPr>
      </w:pPr>
    </w:p>
    <w:p w14:paraId="22758C85" w14:textId="77777777" w:rsidR="00437409" w:rsidRPr="00C94895" w:rsidRDefault="00437409" w:rsidP="00437409">
      <w:pPr>
        <w:ind w:right="50"/>
        <w:jc w:val="both"/>
        <w:rPr>
          <w:rFonts w:ascii="Arial Narrow" w:hAnsi="Arial Narrow" w:cs="Calibri"/>
          <w:sz w:val="24"/>
          <w:szCs w:val="24"/>
          <w:shd w:val="clear" w:color="auto" w:fill="FFFFFF"/>
        </w:rPr>
      </w:pPr>
      <w:proofErr w:type="gramStart"/>
      <w:r w:rsidRPr="00C94895">
        <w:rPr>
          <w:rFonts w:ascii="Arial Narrow" w:hAnsi="Arial Narrow" w:cs="Calibri"/>
          <w:sz w:val="24"/>
          <w:szCs w:val="24"/>
          <w:shd w:val="clear" w:color="auto" w:fill="FFFFFF"/>
        </w:rPr>
        <w:t>Que</w:t>
      </w:r>
      <w:proofErr w:type="gramEnd"/>
      <w:r w:rsidRPr="00C94895">
        <w:rPr>
          <w:rFonts w:ascii="Arial Narrow" w:hAnsi="Arial Narrow" w:cs="Calibri"/>
          <w:sz w:val="24"/>
          <w:szCs w:val="24"/>
          <w:shd w:val="clear" w:color="auto" w:fill="FFFFFF"/>
        </w:rPr>
        <w:t xml:space="preserve"> de acuerdo con lo establecido en la Ley, los siguientes son los criterios a tener en cuenta en la determinación de la Contribución Especial de Vigilancia:</w:t>
      </w:r>
    </w:p>
    <w:p w14:paraId="129C9925" w14:textId="77777777" w:rsidR="00437409" w:rsidRPr="00C94895" w:rsidRDefault="00437409" w:rsidP="00437409">
      <w:pPr>
        <w:ind w:right="50"/>
        <w:jc w:val="both"/>
        <w:rPr>
          <w:rFonts w:ascii="Arial Narrow" w:hAnsi="Arial Narrow" w:cs="Calibri"/>
          <w:b/>
          <w:sz w:val="24"/>
          <w:szCs w:val="24"/>
          <w:shd w:val="clear" w:color="auto" w:fill="FFFFFF"/>
        </w:rPr>
      </w:pPr>
    </w:p>
    <w:p w14:paraId="1CABD737" w14:textId="77777777" w:rsidR="00437409" w:rsidRPr="00C94895" w:rsidRDefault="00437409" w:rsidP="00437409">
      <w:pPr>
        <w:ind w:right="50" w:firstLine="708"/>
        <w:jc w:val="both"/>
        <w:rPr>
          <w:rFonts w:ascii="Arial Narrow" w:hAnsi="Arial Narrow" w:cs="Calibri"/>
          <w:i/>
          <w:sz w:val="24"/>
          <w:szCs w:val="24"/>
          <w:shd w:val="clear" w:color="auto" w:fill="FFFFFF"/>
        </w:rPr>
      </w:pPr>
      <w:r w:rsidRPr="00C94895">
        <w:rPr>
          <w:rFonts w:ascii="Arial Narrow" w:hAnsi="Arial Narrow" w:cs="Calibri"/>
          <w:i/>
          <w:sz w:val="24"/>
          <w:szCs w:val="24"/>
          <w:shd w:val="clear" w:color="auto" w:fill="FFFFFF"/>
        </w:rPr>
        <w:t xml:space="preserve">“ (…) </w:t>
      </w:r>
    </w:p>
    <w:p w14:paraId="076C2A5B" w14:textId="77777777" w:rsidR="00437409" w:rsidRPr="00C94895" w:rsidRDefault="00437409" w:rsidP="00437409">
      <w:pPr>
        <w:ind w:right="50"/>
        <w:jc w:val="both"/>
        <w:rPr>
          <w:rFonts w:ascii="Arial Narrow" w:hAnsi="Arial Narrow" w:cs="Calibri"/>
          <w:i/>
          <w:sz w:val="24"/>
          <w:szCs w:val="24"/>
          <w:shd w:val="clear" w:color="auto" w:fill="FFFFFF"/>
        </w:rPr>
      </w:pPr>
    </w:p>
    <w:p w14:paraId="5BA1A293" w14:textId="77777777" w:rsidR="00437409" w:rsidRPr="00C94895" w:rsidRDefault="00437409" w:rsidP="00437409">
      <w:pPr>
        <w:numPr>
          <w:ilvl w:val="0"/>
          <w:numId w:val="5"/>
        </w:numPr>
        <w:ind w:right="50"/>
        <w:jc w:val="both"/>
        <w:rPr>
          <w:rFonts w:ascii="Arial Narrow" w:hAnsi="Arial Narrow" w:cs="Calibri"/>
          <w:i/>
          <w:sz w:val="24"/>
          <w:szCs w:val="24"/>
          <w:shd w:val="clear" w:color="auto" w:fill="FFFFFF"/>
        </w:rPr>
      </w:pPr>
      <w:r w:rsidRPr="00C94895">
        <w:rPr>
          <w:rFonts w:ascii="Arial Narrow" w:hAnsi="Arial Narrow" w:cs="Calibri"/>
          <w:i/>
          <w:sz w:val="24"/>
          <w:szCs w:val="24"/>
          <w:shd w:val="clear" w:color="auto" w:fill="FFFFFF"/>
        </w:rPr>
        <w:t>El total de las contribuciones corresponderá al monto del presupuesto anual de funcionamiento e inversión de la Superintendencia de Transporte.</w:t>
      </w:r>
    </w:p>
    <w:p w14:paraId="62E6C01C" w14:textId="77777777" w:rsidR="00437409" w:rsidRPr="00C94895" w:rsidRDefault="00437409" w:rsidP="00437409">
      <w:pPr>
        <w:ind w:right="50"/>
        <w:jc w:val="both"/>
        <w:rPr>
          <w:rFonts w:ascii="Arial Narrow" w:hAnsi="Arial Narrow" w:cs="Calibri"/>
          <w:i/>
          <w:sz w:val="24"/>
          <w:szCs w:val="24"/>
          <w:shd w:val="clear" w:color="auto" w:fill="FFFFFF"/>
        </w:rPr>
      </w:pPr>
    </w:p>
    <w:p w14:paraId="4964E2CA" w14:textId="77777777" w:rsidR="00437409" w:rsidRPr="00C94895" w:rsidRDefault="00437409" w:rsidP="00437409">
      <w:pPr>
        <w:numPr>
          <w:ilvl w:val="0"/>
          <w:numId w:val="5"/>
        </w:numPr>
        <w:ind w:right="50"/>
        <w:jc w:val="both"/>
        <w:rPr>
          <w:rFonts w:ascii="Arial Narrow" w:hAnsi="Arial Narrow" w:cs="Calibri"/>
          <w:i/>
          <w:sz w:val="24"/>
          <w:szCs w:val="24"/>
          <w:shd w:val="clear" w:color="auto" w:fill="FFFFFF"/>
        </w:rPr>
      </w:pPr>
      <w:r w:rsidRPr="00C94895">
        <w:rPr>
          <w:rFonts w:ascii="Arial Narrow" w:hAnsi="Arial Narrow" w:cs="Calibri"/>
          <w:i/>
          <w:sz w:val="24"/>
          <w:szCs w:val="24"/>
          <w:shd w:val="clear" w:color="auto" w:fill="FFFFFF"/>
        </w:rPr>
        <w:t xml:space="preserve">Con base en los ingresos brutos derivados de la actividad de transporte que perciba el sujeto supervisado durante el periodo anual anterior, la Superintendencia de Transporte, </w:t>
      </w:r>
      <w:r w:rsidRPr="00C94895">
        <w:rPr>
          <w:rFonts w:ascii="Arial Narrow" w:hAnsi="Arial Narrow" w:cs="Calibri"/>
          <w:i/>
          <w:sz w:val="24"/>
          <w:szCs w:val="24"/>
          <w:u w:val="single"/>
          <w:shd w:val="clear" w:color="auto" w:fill="FFFFFF"/>
        </w:rPr>
        <w:t>mediante resolución, establecerá la tarifa de la contribución a cobrar que no podrá ser superior al cero coma dos por ciento (0,2%) de dichos ingresos brutos.</w:t>
      </w:r>
    </w:p>
    <w:p w14:paraId="3E5D3972" w14:textId="77777777" w:rsidR="00437409" w:rsidRPr="00C94895" w:rsidRDefault="00437409" w:rsidP="00437409">
      <w:pPr>
        <w:pStyle w:val="Prrafodelista"/>
        <w:jc w:val="both"/>
        <w:rPr>
          <w:rFonts w:ascii="Arial Narrow" w:hAnsi="Arial Narrow" w:cs="Calibri"/>
          <w:i/>
          <w:szCs w:val="24"/>
          <w:shd w:val="clear" w:color="auto" w:fill="FFFFFF"/>
        </w:rPr>
      </w:pPr>
    </w:p>
    <w:p w14:paraId="1971B0FE" w14:textId="77777777" w:rsidR="00437409" w:rsidRPr="00C94895" w:rsidRDefault="00437409" w:rsidP="00437409">
      <w:pPr>
        <w:numPr>
          <w:ilvl w:val="0"/>
          <w:numId w:val="5"/>
        </w:numPr>
        <w:ind w:right="50"/>
        <w:jc w:val="both"/>
        <w:rPr>
          <w:rFonts w:ascii="Arial Narrow" w:hAnsi="Arial Narrow" w:cs="Calibri"/>
          <w:i/>
          <w:sz w:val="24"/>
          <w:szCs w:val="24"/>
          <w:shd w:val="clear" w:color="auto" w:fill="FFFFFF"/>
          <w:lang w:val="es-CO"/>
        </w:rPr>
      </w:pPr>
      <w:r w:rsidRPr="00C94895">
        <w:rPr>
          <w:rFonts w:ascii="Arial Narrow" w:hAnsi="Arial Narrow" w:cs="Calibri"/>
          <w:i/>
          <w:sz w:val="24"/>
          <w:szCs w:val="24"/>
          <w:shd w:val="clear" w:color="auto" w:fill="FFFFFF"/>
        </w:rPr>
        <w:t>La contribución deberá cancelarse anualmente, en los plazos que para tal efecto determine la Superintendencia de Transporte.</w:t>
      </w:r>
    </w:p>
    <w:p w14:paraId="399FCD4D" w14:textId="77777777" w:rsidR="00437409" w:rsidRPr="00C94895" w:rsidRDefault="00437409" w:rsidP="00437409">
      <w:pPr>
        <w:pStyle w:val="Prrafodelista"/>
        <w:jc w:val="both"/>
        <w:rPr>
          <w:rFonts w:ascii="Arial Narrow" w:hAnsi="Arial Narrow" w:cs="Calibri"/>
          <w:i/>
          <w:szCs w:val="24"/>
          <w:shd w:val="clear" w:color="auto" w:fill="FFFFFF"/>
          <w:lang w:val="es-CO"/>
        </w:rPr>
      </w:pPr>
    </w:p>
    <w:p w14:paraId="4293D252" w14:textId="77777777" w:rsidR="00437409" w:rsidRPr="00C94895" w:rsidRDefault="00437409" w:rsidP="00437409">
      <w:pPr>
        <w:ind w:left="709" w:right="50" w:hanging="1"/>
        <w:jc w:val="both"/>
        <w:rPr>
          <w:rFonts w:ascii="Arial Narrow" w:hAnsi="Arial Narrow" w:cs="Calibri"/>
          <w:i/>
          <w:sz w:val="24"/>
          <w:szCs w:val="24"/>
          <w:shd w:val="clear" w:color="auto" w:fill="FFFFFF"/>
          <w:lang w:val="es-CO"/>
        </w:rPr>
      </w:pPr>
      <w:r w:rsidRPr="00C94895">
        <w:rPr>
          <w:rFonts w:ascii="Arial Narrow" w:hAnsi="Arial Narrow" w:cs="Calibri"/>
          <w:i/>
          <w:sz w:val="24"/>
          <w:szCs w:val="24"/>
          <w:shd w:val="clear" w:color="auto" w:fill="FFFFFF"/>
          <w:lang w:val="es-CO"/>
        </w:rPr>
        <w:t>PARÁGRAFO 1o. Para efectos del presente artículo, se entenderá por ingresos brutos derivados de la actividad de transporte, todos aquellos que recibe el supervisado por las actividades relacionadas con el tránsito, transporte, su infraestructura o sus servicios conexos y complementarios, durante el período anual anterior, sin restarle las contribuciones, gastos, costos, tributos, descuentos y deducciones.</w:t>
      </w:r>
    </w:p>
    <w:p w14:paraId="3BF87B57" w14:textId="77777777" w:rsidR="00437409" w:rsidRPr="00C94895" w:rsidRDefault="00437409" w:rsidP="00437409">
      <w:pPr>
        <w:ind w:left="709" w:right="50" w:hanging="1"/>
        <w:jc w:val="both"/>
        <w:rPr>
          <w:rFonts w:ascii="Arial Narrow" w:hAnsi="Arial Narrow" w:cs="Calibri"/>
          <w:i/>
          <w:sz w:val="24"/>
          <w:szCs w:val="24"/>
          <w:shd w:val="clear" w:color="auto" w:fill="FFFFFF"/>
          <w:lang w:val="es-CO"/>
        </w:rPr>
      </w:pPr>
    </w:p>
    <w:p w14:paraId="46A0937E" w14:textId="77777777" w:rsidR="00437409" w:rsidRPr="00C94895" w:rsidRDefault="00437409" w:rsidP="00437409">
      <w:pPr>
        <w:ind w:left="709" w:right="50" w:hanging="1"/>
        <w:jc w:val="both"/>
        <w:rPr>
          <w:rFonts w:ascii="Arial Narrow" w:hAnsi="Arial Narrow" w:cs="Calibri"/>
          <w:i/>
          <w:sz w:val="24"/>
          <w:szCs w:val="24"/>
          <w:shd w:val="clear" w:color="auto" w:fill="FFFFFF"/>
          <w:lang w:val="es-CO"/>
        </w:rPr>
      </w:pPr>
      <w:r w:rsidRPr="00C94895">
        <w:rPr>
          <w:rFonts w:ascii="Arial Narrow" w:hAnsi="Arial Narrow" w:cs="Calibri"/>
          <w:i/>
          <w:sz w:val="24"/>
          <w:szCs w:val="24"/>
          <w:shd w:val="clear" w:color="auto" w:fill="FFFFFF"/>
          <w:lang w:val="es-CO"/>
        </w:rPr>
        <w:t>PARÁGRAFO 2o. La tarifa de la contribución podrá ser diferencial dependiendo de si la supervisión es integral, objetiva o subjetiva.</w:t>
      </w:r>
    </w:p>
    <w:p w14:paraId="19472F47" w14:textId="77777777" w:rsidR="00437409" w:rsidRPr="00C94895" w:rsidRDefault="00437409" w:rsidP="00437409">
      <w:pPr>
        <w:ind w:left="709" w:right="50" w:hanging="1"/>
        <w:jc w:val="both"/>
        <w:rPr>
          <w:rFonts w:ascii="Arial Narrow" w:hAnsi="Arial Narrow" w:cs="Calibri"/>
          <w:i/>
          <w:sz w:val="24"/>
          <w:szCs w:val="24"/>
          <w:shd w:val="clear" w:color="auto" w:fill="FFFFFF"/>
          <w:lang w:val="es-CO"/>
        </w:rPr>
      </w:pPr>
    </w:p>
    <w:p w14:paraId="786382EE" w14:textId="542A080A" w:rsidR="00437409" w:rsidRPr="00C94895" w:rsidRDefault="00437409" w:rsidP="00893CE0">
      <w:pPr>
        <w:ind w:left="709" w:right="50" w:hanging="1"/>
        <w:jc w:val="both"/>
        <w:rPr>
          <w:rFonts w:ascii="Arial Narrow" w:hAnsi="Arial Narrow" w:cs="Calibri"/>
          <w:i/>
          <w:sz w:val="24"/>
          <w:szCs w:val="24"/>
          <w:shd w:val="clear" w:color="auto" w:fill="FFFFFF"/>
          <w:lang w:val="es-CO"/>
        </w:rPr>
      </w:pPr>
      <w:r w:rsidRPr="00C94895">
        <w:rPr>
          <w:rFonts w:ascii="Arial Narrow" w:hAnsi="Arial Narrow" w:cs="Calibri"/>
          <w:i/>
          <w:sz w:val="24"/>
          <w:szCs w:val="24"/>
          <w:shd w:val="clear" w:color="auto" w:fill="FFFFFF"/>
          <w:lang w:val="es-CO"/>
        </w:rPr>
        <w:lastRenderedPageBreak/>
        <w:t>PARÁGRAFO 3o. Los concesionarios de puertos de servicio privado pagarán la contribución especial de vigilancia teniendo en cuenta como base de liquidación, la cifra resultante de multiplicar las toneladas movilizadas en el año inmediatamente anterior por la tarifa calculada anualmente por la Superintendencia de Transporte para cada tipo de carga de acuerdo con la metodología establecida en los planes de expansión portuaria y demás normas concordantes. (…)”</w:t>
      </w:r>
      <w:r w:rsidR="00893CE0">
        <w:rPr>
          <w:rFonts w:ascii="Arial Narrow" w:hAnsi="Arial Narrow" w:cs="Calibri"/>
          <w:i/>
          <w:sz w:val="24"/>
          <w:szCs w:val="24"/>
          <w:shd w:val="clear" w:color="auto" w:fill="FFFFFF"/>
          <w:lang w:val="es-CO"/>
        </w:rPr>
        <w:t xml:space="preserve"> </w:t>
      </w:r>
      <w:r w:rsidRPr="00C94895">
        <w:rPr>
          <w:rFonts w:ascii="Arial Narrow" w:hAnsi="Arial Narrow" w:cs="Calibri"/>
          <w:sz w:val="24"/>
          <w:szCs w:val="24"/>
          <w:shd w:val="clear" w:color="auto" w:fill="FFFFFF"/>
        </w:rPr>
        <w:t>(Subrayado por fuera del texto).</w:t>
      </w:r>
    </w:p>
    <w:p w14:paraId="1CA2E93D" w14:textId="77777777" w:rsidR="00437409" w:rsidRDefault="00437409" w:rsidP="00437409">
      <w:pPr>
        <w:ind w:left="709" w:right="50" w:hanging="1"/>
        <w:jc w:val="both"/>
        <w:rPr>
          <w:rFonts w:ascii="Arial Narrow" w:hAnsi="Arial Narrow" w:cs="Calibri"/>
          <w:i/>
          <w:sz w:val="24"/>
          <w:szCs w:val="24"/>
          <w:shd w:val="clear" w:color="auto" w:fill="FFFFFF"/>
          <w:lang w:val="es-CO"/>
        </w:rPr>
      </w:pPr>
    </w:p>
    <w:p w14:paraId="614D9F4A" w14:textId="0D78529A" w:rsidR="00AA1AE6" w:rsidRDefault="00437409" w:rsidP="000A3120">
      <w:pPr>
        <w:ind w:right="50"/>
        <w:jc w:val="both"/>
        <w:rPr>
          <w:rFonts w:ascii="Arial Narrow" w:hAnsi="Arial Narrow" w:cs="Calibri"/>
          <w:sz w:val="24"/>
          <w:szCs w:val="24"/>
          <w:shd w:val="clear" w:color="auto" w:fill="FFFFFF"/>
        </w:rPr>
      </w:pPr>
      <w:r w:rsidRPr="00C94895">
        <w:rPr>
          <w:rFonts w:ascii="Arial Narrow" w:hAnsi="Arial Narrow" w:cs="Calibri"/>
          <w:sz w:val="24"/>
          <w:szCs w:val="24"/>
          <w:shd w:val="clear" w:color="auto" w:fill="FFFFFF"/>
        </w:rPr>
        <w:t>Que mediante Resolución número 36699 del 1 de agosto de 2016, actualizada por la</w:t>
      </w:r>
      <w:r w:rsidR="002B3EE9" w:rsidRPr="00C94895">
        <w:rPr>
          <w:rFonts w:ascii="Arial Narrow" w:hAnsi="Arial Narrow" w:cs="Calibri"/>
          <w:sz w:val="24"/>
          <w:szCs w:val="24"/>
          <w:shd w:val="clear" w:color="auto" w:fill="FFFFFF"/>
        </w:rPr>
        <w:t>s Resoluciones</w:t>
      </w:r>
      <w:r w:rsidRPr="00C94895">
        <w:rPr>
          <w:rFonts w:ascii="Arial Narrow" w:hAnsi="Arial Narrow" w:cs="Calibri"/>
          <w:sz w:val="24"/>
          <w:szCs w:val="24"/>
          <w:shd w:val="clear" w:color="auto" w:fill="FFFFFF"/>
        </w:rPr>
        <w:t xml:space="preserve"> número 13004 del 19 de abril de 2017</w:t>
      </w:r>
      <w:r w:rsidR="000A3120">
        <w:rPr>
          <w:rFonts w:ascii="Arial Narrow" w:hAnsi="Arial Narrow" w:cs="Calibri"/>
          <w:sz w:val="24"/>
          <w:szCs w:val="24"/>
          <w:shd w:val="clear" w:color="auto" w:fill="FFFFFF"/>
        </w:rPr>
        <w:t xml:space="preserve"> y </w:t>
      </w:r>
      <w:r w:rsidR="000A3120" w:rsidRPr="000A3120">
        <w:rPr>
          <w:rFonts w:ascii="Arial Narrow" w:hAnsi="Arial Narrow" w:cs="Calibri"/>
          <w:sz w:val="24"/>
          <w:szCs w:val="24"/>
          <w:shd w:val="clear" w:color="auto" w:fill="FFFFFF"/>
        </w:rPr>
        <w:t>6253 del 26 de marzo de 2020</w:t>
      </w:r>
      <w:r w:rsidRPr="00C94895">
        <w:rPr>
          <w:rFonts w:ascii="Arial Narrow" w:hAnsi="Arial Narrow" w:cs="Calibri"/>
          <w:sz w:val="24"/>
          <w:szCs w:val="24"/>
          <w:shd w:val="clear" w:color="auto" w:fill="FFFFFF"/>
        </w:rPr>
        <w:t>, la Superintendencia de Transporte</w:t>
      </w:r>
      <w:r w:rsidRPr="00C94895">
        <w:rPr>
          <w:rFonts w:ascii="Arial Narrow" w:hAnsi="Arial Narrow" w:cs="Calibri"/>
          <w:sz w:val="24"/>
          <w:szCs w:val="24"/>
          <w:shd w:val="clear" w:color="auto" w:fill="FFFFFF"/>
          <w:lang w:val="es-ES"/>
        </w:rPr>
        <w:t xml:space="preserve"> adoptó la metodología para el cálculo de la Contribución Especial que por concepto de vigilancia deben pagar todos los supervisados de conformidad con el artículo 36 </w:t>
      </w:r>
      <w:r w:rsidRPr="00C94895">
        <w:rPr>
          <w:rFonts w:ascii="Arial Narrow" w:hAnsi="Arial Narrow" w:cs="Calibri"/>
          <w:sz w:val="24"/>
          <w:szCs w:val="24"/>
          <w:shd w:val="clear" w:color="auto" w:fill="FFFFFF"/>
        </w:rPr>
        <w:t>de la Ley 1753 de 2015.</w:t>
      </w:r>
    </w:p>
    <w:p w14:paraId="79E4B4FE" w14:textId="77777777" w:rsidR="00711FF7" w:rsidRDefault="00711FF7" w:rsidP="000A3120">
      <w:pPr>
        <w:ind w:right="50"/>
        <w:jc w:val="both"/>
        <w:rPr>
          <w:rFonts w:ascii="Arial Narrow" w:hAnsi="Arial Narrow" w:cs="Calibri"/>
          <w:sz w:val="24"/>
          <w:szCs w:val="24"/>
          <w:shd w:val="clear" w:color="auto" w:fill="FFFFFF"/>
        </w:rPr>
      </w:pPr>
    </w:p>
    <w:p w14:paraId="56006FAE" w14:textId="3EC48604" w:rsidR="00711FF7" w:rsidRPr="00711FF7" w:rsidRDefault="00711FF7" w:rsidP="00711FF7">
      <w:pPr>
        <w:ind w:right="50"/>
        <w:jc w:val="both"/>
        <w:rPr>
          <w:rFonts w:ascii="Arial Narrow" w:hAnsi="Arial Narrow" w:cs="Arial"/>
          <w:color w:val="000000"/>
          <w:sz w:val="24"/>
          <w:szCs w:val="24"/>
        </w:rPr>
      </w:pPr>
      <w:r>
        <w:rPr>
          <w:rFonts w:ascii="Arial Narrow" w:hAnsi="Arial Narrow" w:cs="Arial"/>
          <w:color w:val="000000"/>
          <w:sz w:val="24"/>
          <w:szCs w:val="24"/>
        </w:rPr>
        <w:t>Que el factor de expansión de los ingresos es la herramienta que permite realizar la proyección de los ingresos brutos de los vigilados, cuando no es posible contar con los ingresos correspondientes al periodo t-1. D</w:t>
      </w:r>
      <w:r w:rsidRPr="00711FF7">
        <w:rPr>
          <w:rFonts w:ascii="Arial Narrow" w:hAnsi="Arial Narrow" w:cs="Arial"/>
          <w:color w:val="000000"/>
          <w:sz w:val="24"/>
          <w:szCs w:val="24"/>
        </w:rPr>
        <w:t>icho factor de expansión corresponde a</w:t>
      </w:r>
      <w:r w:rsidR="00A463B2">
        <w:rPr>
          <w:rFonts w:ascii="Arial Narrow" w:hAnsi="Arial Narrow" w:cs="Arial"/>
          <w:color w:val="000000"/>
          <w:sz w:val="24"/>
          <w:szCs w:val="24"/>
        </w:rPr>
        <w:t xml:space="preserve"> la variación del </w:t>
      </w:r>
      <w:r w:rsidRPr="00711FF7">
        <w:rPr>
          <w:rFonts w:ascii="Arial Narrow" w:hAnsi="Arial Narrow" w:cs="Arial"/>
          <w:color w:val="000000"/>
          <w:sz w:val="24"/>
          <w:szCs w:val="24"/>
        </w:rPr>
        <w:t xml:space="preserve">PIB nominal </w:t>
      </w:r>
      <w:proofErr w:type="spellStart"/>
      <w:r w:rsidRPr="00711FF7">
        <w:rPr>
          <w:rFonts w:ascii="Arial Narrow" w:hAnsi="Arial Narrow" w:cs="Arial"/>
          <w:color w:val="000000"/>
          <w:sz w:val="24"/>
          <w:szCs w:val="24"/>
        </w:rPr>
        <w:t>desestacionalizado</w:t>
      </w:r>
      <w:proofErr w:type="spellEnd"/>
      <w:r w:rsidRPr="00711FF7">
        <w:rPr>
          <w:rFonts w:ascii="Arial Narrow" w:hAnsi="Arial Narrow" w:cs="Arial"/>
          <w:color w:val="000000"/>
          <w:sz w:val="24"/>
          <w:szCs w:val="24"/>
        </w:rPr>
        <w:t xml:space="preserve"> entre el último trimestre de t-2 y el último trimestre de t-1, de las actividades vigiladas por la Superintendencia de Transporte, el cual es calculado por el Departamento Administrativo Nacional Estadística - DANE. </w:t>
      </w:r>
    </w:p>
    <w:p w14:paraId="69C94657" w14:textId="77777777" w:rsidR="00711FF7" w:rsidRPr="00032974" w:rsidRDefault="00711FF7" w:rsidP="00711FF7">
      <w:pPr>
        <w:ind w:right="50"/>
        <w:jc w:val="both"/>
        <w:rPr>
          <w:rFonts w:ascii="Arial Narrow" w:hAnsi="Arial Narrow" w:cs="Arial"/>
          <w:color w:val="000000"/>
          <w:sz w:val="24"/>
          <w:szCs w:val="24"/>
          <w:highlight w:val="yellow"/>
        </w:rPr>
      </w:pPr>
    </w:p>
    <w:p w14:paraId="699C7987" w14:textId="145628A3" w:rsidR="00711FF7" w:rsidRPr="00711FF7" w:rsidRDefault="00711FF7" w:rsidP="00711FF7">
      <w:pPr>
        <w:ind w:right="50"/>
        <w:jc w:val="both"/>
        <w:rPr>
          <w:rFonts w:ascii="Arial Narrow" w:hAnsi="Arial Narrow" w:cs="Arial"/>
          <w:color w:val="000000"/>
          <w:sz w:val="24"/>
          <w:szCs w:val="24"/>
        </w:rPr>
      </w:pPr>
      <w:r w:rsidRPr="00711FF7">
        <w:rPr>
          <w:rFonts w:ascii="Arial Narrow" w:hAnsi="Arial Narrow" w:cs="Arial"/>
          <w:color w:val="000000"/>
          <w:sz w:val="24"/>
          <w:szCs w:val="24"/>
        </w:rPr>
        <w:t>Que el factor de expansión de ingresos únicamente se aplicará para aquellos sujetos sometidos a inspección, vigilancia y control de la Superintendencia de Transporte, cuando al momento de realizar el cálculo de la tarifa de la contribución especial de vigilancia, no hayan reportado sus ingresos en el Sistema Nacional de Supervisión al Transporte</w:t>
      </w:r>
      <w:r w:rsidR="00836943">
        <w:rPr>
          <w:rFonts w:ascii="Arial Narrow" w:hAnsi="Arial Narrow" w:cs="Arial"/>
          <w:color w:val="000000"/>
          <w:sz w:val="24"/>
          <w:szCs w:val="24"/>
        </w:rPr>
        <w:t xml:space="preserve"> </w:t>
      </w:r>
      <w:r w:rsidRPr="00711FF7">
        <w:rPr>
          <w:rFonts w:ascii="Arial Narrow" w:hAnsi="Arial Narrow" w:cs="Arial"/>
          <w:color w:val="000000"/>
          <w:sz w:val="24"/>
          <w:szCs w:val="24"/>
        </w:rPr>
        <w:t xml:space="preserve">- VIGIA, acorde con los parámetros establecidos por la entidad. Para quienes hayan cumplido dicha obligación, se tomarán los ingresos brutos derivados de la actividad de transporte, correspondientes al año inmediatamente anterior. </w:t>
      </w:r>
    </w:p>
    <w:p w14:paraId="32EF2EE6" w14:textId="77777777" w:rsidR="00711FF7" w:rsidRPr="00032974" w:rsidRDefault="00711FF7" w:rsidP="00711FF7">
      <w:pPr>
        <w:ind w:right="50"/>
        <w:jc w:val="both"/>
        <w:rPr>
          <w:rFonts w:ascii="Arial Narrow" w:hAnsi="Arial Narrow" w:cs="Arial"/>
          <w:color w:val="000000"/>
          <w:sz w:val="24"/>
          <w:szCs w:val="24"/>
          <w:highlight w:val="yellow"/>
        </w:rPr>
      </w:pPr>
    </w:p>
    <w:p w14:paraId="1CE6F4E4" w14:textId="02CC63E7" w:rsidR="00711FF7" w:rsidRDefault="00711FF7" w:rsidP="00711FF7">
      <w:pPr>
        <w:ind w:right="50"/>
        <w:jc w:val="both"/>
        <w:rPr>
          <w:rFonts w:ascii="Arial Narrow" w:hAnsi="Arial Narrow" w:cs="Arial"/>
          <w:color w:val="000000"/>
          <w:sz w:val="24"/>
          <w:szCs w:val="24"/>
        </w:rPr>
      </w:pPr>
      <w:r>
        <w:rPr>
          <w:rFonts w:ascii="Arial Narrow" w:hAnsi="Arial Narrow" w:cs="Arial"/>
          <w:color w:val="000000"/>
          <w:sz w:val="24"/>
          <w:szCs w:val="24"/>
        </w:rPr>
        <w:t>Que c</w:t>
      </w:r>
      <w:r w:rsidRPr="00711FF7">
        <w:rPr>
          <w:rFonts w:ascii="Arial Narrow" w:hAnsi="Arial Narrow" w:cs="Arial"/>
          <w:color w:val="000000"/>
          <w:sz w:val="24"/>
          <w:szCs w:val="24"/>
        </w:rPr>
        <w:t>uando sea procedente su aplicación, el factor de expansión se multiplica por el valor de los ingresos de</w:t>
      </w:r>
      <w:r w:rsidR="00A463B2">
        <w:rPr>
          <w:rFonts w:ascii="Arial Narrow" w:hAnsi="Arial Narrow" w:cs="Arial"/>
          <w:color w:val="000000"/>
          <w:sz w:val="24"/>
          <w:szCs w:val="24"/>
        </w:rPr>
        <w:t>l período</w:t>
      </w:r>
      <w:r w:rsidRPr="00711FF7">
        <w:rPr>
          <w:rFonts w:ascii="Arial Narrow" w:hAnsi="Arial Narrow" w:cs="Arial"/>
          <w:color w:val="000000"/>
          <w:sz w:val="24"/>
          <w:szCs w:val="24"/>
        </w:rPr>
        <w:t xml:space="preserve"> t-2, lo cual da como resultado los ingresos esperados de los vigilados </w:t>
      </w:r>
      <w:r w:rsidR="00A463B2">
        <w:rPr>
          <w:rFonts w:ascii="Arial Narrow" w:hAnsi="Arial Narrow" w:cs="Arial"/>
          <w:color w:val="000000"/>
          <w:sz w:val="24"/>
          <w:szCs w:val="24"/>
        </w:rPr>
        <w:t xml:space="preserve">para el período </w:t>
      </w:r>
      <w:r w:rsidRPr="00711FF7">
        <w:rPr>
          <w:rFonts w:ascii="Arial Narrow" w:hAnsi="Arial Narrow" w:cs="Arial"/>
          <w:color w:val="000000"/>
          <w:sz w:val="24"/>
          <w:szCs w:val="24"/>
        </w:rPr>
        <w:t>t-1; al valor resultante de la operación anterior se le aplica un nivel de confianza del 95%, equivalente al límite inferior de la proyección de ingresos calculado</w:t>
      </w:r>
      <w:r w:rsidR="00836943">
        <w:rPr>
          <w:rFonts w:ascii="Arial Narrow" w:hAnsi="Arial Narrow" w:cs="Arial"/>
          <w:color w:val="000000"/>
          <w:sz w:val="24"/>
          <w:szCs w:val="24"/>
        </w:rPr>
        <w:t>s</w:t>
      </w:r>
      <w:r w:rsidRPr="00711FF7">
        <w:rPr>
          <w:rFonts w:ascii="Arial Narrow" w:hAnsi="Arial Narrow" w:cs="Arial"/>
          <w:color w:val="000000"/>
          <w:sz w:val="24"/>
          <w:szCs w:val="24"/>
        </w:rPr>
        <w:t xml:space="preserve"> en el análisis de robustez, realizado en el estudio económico; esto busca garantizar que la base de liquidación sea lo más cercana a la realidad, reduciendo el riesgo de sobreestimación de ingresos.</w:t>
      </w:r>
      <w:r>
        <w:rPr>
          <w:rFonts w:ascii="Arial Narrow" w:hAnsi="Arial Narrow" w:cs="Arial"/>
          <w:color w:val="000000"/>
          <w:sz w:val="24"/>
          <w:szCs w:val="24"/>
        </w:rPr>
        <w:t xml:space="preserve"> </w:t>
      </w:r>
    </w:p>
    <w:p w14:paraId="634D7F4E" w14:textId="77777777" w:rsidR="00437409" w:rsidRPr="00AA1AE6" w:rsidRDefault="00437409" w:rsidP="00437409">
      <w:pPr>
        <w:ind w:right="50"/>
        <w:rPr>
          <w:rFonts w:ascii="Arial Narrow" w:hAnsi="Arial Narrow" w:cs="Calibri"/>
          <w:sz w:val="24"/>
          <w:szCs w:val="24"/>
          <w:shd w:val="clear" w:color="auto" w:fill="FFFFFF"/>
        </w:rPr>
      </w:pPr>
    </w:p>
    <w:p w14:paraId="2F19C12F" w14:textId="6492FCDF" w:rsidR="00437409" w:rsidRPr="00AA1AE6" w:rsidRDefault="00437409" w:rsidP="00437409">
      <w:pPr>
        <w:ind w:right="50"/>
        <w:jc w:val="both"/>
        <w:rPr>
          <w:rFonts w:ascii="Arial Narrow" w:hAnsi="Arial Narrow" w:cs="Calibri"/>
          <w:sz w:val="24"/>
          <w:szCs w:val="24"/>
          <w:shd w:val="clear" w:color="auto" w:fill="FFFFFF"/>
        </w:rPr>
      </w:pPr>
      <w:proofErr w:type="gramStart"/>
      <w:r w:rsidRPr="00AA1AE6">
        <w:rPr>
          <w:rFonts w:ascii="Arial Narrow" w:hAnsi="Arial Narrow" w:cs="Calibri"/>
          <w:sz w:val="24"/>
          <w:szCs w:val="24"/>
          <w:shd w:val="clear" w:color="auto" w:fill="FFFFFF"/>
        </w:rPr>
        <w:t>Que</w:t>
      </w:r>
      <w:proofErr w:type="gramEnd"/>
      <w:r w:rsidRPr="00AA1AE6">
        <w:rPr>
          <w:rFonts w:ascii="Arial Narrow" w:hAnsi="Arial Narrow" w:cs="Calibri"/>
          <w:sz w:val="24"/>
          <w:szCs w:val="24"/>
          <w:shd w:val="clear" w:color="auto" w:fill="FFFFFF"/>
        </w:rPr>
        <w:t xml:space="preserve"> </w:t>
      </w:r>
      <w:r w:rsidR="00F24903">
        <w:rPr>
          <w:rFonts w:ascii="Arial Narrow" w:hAnsi="Arial Narrow" w:cs="Calibri"/>
          <w:sz w:val="24"/>
          <w:szCs w:val="24"/>
          <w:shd w:val="clear" w:color="auto" w:fill="FFFFFF"/>
        </w:rPr>
        <w:t xml:space="preserve">en ese sentido, </w:t>
      </w:r>
      <w:r w:rsidRPr="00AA1AE6">
        <w:rPr>
          <w:rFonts w:ascii="Arial Narrow" w:hAnsi="Arial Narrow" w:cs="Calibri"/>
          <w:sz w:val="24"/>
          <w:szCs w:val="24"/>
          <w:shd w:val="clear" w:color="auto" w:fill="FFFFFF"/>
        </w:rPr>
        <w:t xml:space="preserve">los valores de los ingresos </w:t>
      </w:r>
      <w:r w:rsidR="00AA1AE6" w:rsidRPr="00AA1AE6">
        <w:rPr>
          <w:rFonts w:ascii="Arial Narrow" w:hAnsi="Arial Narrow" w:cs="Calibri"/>
          <w:sz w:val="24"/>
          <w:szCs w:val="24"/>
          <w:shd w:val="clear" w:color="auto" w:fill="FFFFFF"/>
        </w:rPr>
        <w:t>reportados por el ejercicio de actividades relacionadas con el transporte durante el año 2019</w:t>
      </w:r>
      <w:r w:rsidRPr="00AA1AE6">
        <w:rPr>
          <w:rFonts w:ascii="Arial Narrow" w:hAnsi="Arial Narrow" w:cs="Calibri"/>
          <w:sz w:val="24"/>
          <w:szCs w:val="24"/>
          <w:shd w:val="clear" w:color="auto" w:fill="FFFFFF"/>
        </w:rPr>
        <w:t xml:space="preserve">, </w:t>
      </w:r>
      <w:r w:rsidR="00836943">
        <w:rPr>
          <w:rFonts w:ascii="Arial Narrow" w:hAnsi="Arial Narrow" w:cs="Calibri"/>
          <w:sz w:val="24"/>
          <w:szCs w:val="24"/>
          <w:shd w:val="clear" w:color="auto" w:fill="FFFFFF"/>
        </w:rPr>
        <w:t xml:space="preserve">incluyendo </w:t>
      </w:r>
      <w:r w:rsidRPr="00AA1AE6">
        <w:rPr>
          <w:rFonts w:ascii="Arial Narrow" w:hAnsi="Arial Narrow" w:cs="Calibri"/>
          <w:sz w:val="24"/>
          <w:szCs w:val="24"/>
          <w:shd w:val="clear" w:color="auto" w:fill="FFFFFF"/>
        </w:rPr>
        <w:t>el valor calculado de los ingresos de los Puertos Privados según lo establecido en el artículo 36 de la Ley 1753 de 2015</w:t>
      </w:r>
      <w:r w:rsidR="00836943">
        <w:rPr>
          <w:rFonts w:ascii="Arial Narrow" w:hAnsi="Arial Narrow" w:cs="Calibri"/>
          <w:sz w:val="24"/>
          <w:szCs w:val="24"/>
          <w:shd w:val="clear" w:color="auto" w:fill="FFFFFF"/>
        </w:rPr>
        <w:t xml:space="preserve"> y la metodología adopt</w:t>
      </w:r>
      <w:r w:rsidR="00055ECD">
        <w:rPr>
          <w:rFonts w:ascii="Arial Narrow" w:hAnsi="Arial Narrow" w:cs="Calibri"/>
          <w:sz w:val="24"/>
          <w:szCs w:val="24"/>
          <w:shd w:val="clear" w:color="auto" w:fill="FFFFFF"/>
        </w:rPr>
        <w:t>ada a través de la Resolución</w:t>
      </w:r>
      <w:r w:rsidR="00836943">
        <w:rPr>
          <w:rFonts w:ascii="Arial Narrow" w:hAnsi="Arial Narrow" w:cs="Calibri"/>
          <w:sz w:val="24"/>
          <w:szCs w:val="24"/>
          <w:shd w:val="clear" w:color="auto" w:fill="FFFFFF"/>
        </w:rPr>
        <w:t xml:space="preserve"> </w:t>
      </w:r>
      <w:r w:rsidR="00055ECD" w:rsidRPr="00055ECD">
        <w:rPr>
          <w:rFonts w:ascii="Arial Narrow" w:hAnsi="Arial Narrow" w:cs="Calibri"/>
          <w:sz w:val="24"/>
          <w:szCs w:val="24"/>
          <w:shd w:val="clear" w:color="auto" w:fill="FFFFFF"/>
        </w:rPr>
        <w:t>36699 del 1 de agosto de 2016, actualizada por las Resoluciones número 13004 del 19 de abril de 2017 y 6253 del 26 de marzo de 2020</w:t>
      </w:r>
      <w:r w:rsidRPr="00AA1AE6">
        <w:rPr>
          <w:rFonts w:ascii="Arial Narrow" w:hAnsi="Arial Narrow" w:cs="Calibri"/>
          <w:sz w:val="24"/>
          <w:szCs w:val="24"/>
          <w:shd w:val="clear" w:color="auto" w:fill="FFFFFF"/>
        </w:rPr>
        <w:t xml:space="preserve">, </w:t>
      </w:r>
      <w:r w:rsidR="00836943" w:rsidRPr="00AA1AE6">
        <w:rPr>
          <w:rFonts w:ascii="Arial Narrow" w:hAnsi="Arial Narrow" w:cs="Calibri"/>
          <w:sz w:val="24"/>
          <w:szCs w:val="24"/>
          <w:shd w:val="clear" w:color="auto" w:fill="FFFFFF"/>
        </w:rPr>
        <w:t>se resumen en el siguiente cuadro</w:t>
      </w:r>
      <w:r w:rsidR="00836943">
        <w:rPr>
          <w:rFonts w:ascii="Arial Narrow" w:hAnsi="Arial Narrow" w:cs="Calibri"/>
          <w:sz w:val="24"/>
          <w:szCs w:val="24"/>
          <w:shd w:val="clear" w:color="auto" w:fill="FFFFFF"/>
        </w:rPr>
        <w:t>:</w:t>
      </w:r>
    </w:p>
    <w:p w14:paraId="0A14E67E" w14:textId="77777777" w:rsidR="00437409" w:rsidRPr="004E6CED" w:rsidRDefault="00437409" w:rsidP="00437409">
      <w:pPr>
        <w:ind w:right="50"/>
        <w:rPr>
          <w:rFonts w:ascii="Arial Narrow" w:hAnsi="Arial Narrow" w:cs="Calibri"/>
          <w:b/>
          <w:sz w:val="24"/>
          <w:szCs w:val="24"/>
          <w:shd w:val="clear" w:color="auto" w:fill="FFFFFF"/>
        </w:rPr>
      </w:pPr>
    </w:p>
    <w:p w14:paraId="5EDB2F03" w14:textId="77777777" w:rsidR="00437409" w:rsidRPr="004E6CED" w:rsidRDefault="00437409" w:rsidP="00437409">
      <w:pPr>
        <w:ind w:right="50"/>
        <w:jc w:val="center"/>
        <w:rPr>
          <w:rFonts w:ascii="Arial Narrow" w:hAnsi="Arial Narrow" w:cs="Calibri"/>
          <w:b/>
          <w:sz w:val="24"/>
          <w:szCs w:val="24"/>
          <w:shd w:val="clear" w:color="auto" w:fill="FFFFFF"/>
        </w:rPr>
      </w:pPr>
      <w:r w:rsidRPr="004E6CED">
        <w:rPr>
          <w:rFonts w:ascii="Arial Narrow" w:hAnsi="Arial Narrow" w:cs="Calibri"/>
          <w:b/>
          <w:sz w:val="24"/>
          <w:szCs w:val="24"/>
          <w:shd w:val="clear" w:color="auto" w:fill="FFFFFF"/>
        </w:rPr>
        <w:t xml:space="preserve">INGRESOS BRUTOS </w:t>
      </w:r>
      <w:r w:rsidR="00AA1AE6" w:rsidRPr="004E6CED">
        <w:rPr>
          <w:rFonts w:ascii="Arial Narrow" w:hAnsi="Arial Narrow" w:cs="Calibri"/>
          <w:b/>
          <w:sz w:val="24"/>
          <w:szCs w:val="24"/>
          <w:shd w:val="clear" w:color="auto" w:fill="FFFFFF"/>
        </w:rPr>
        <w:t>DEL AÑO 2019</w:t>
      </w:r>
      <w:r w:rsidRPr="004E6CED">
        <w:rPr>
          <w:rFonts w:ascii="Arial Narrow" w:hAnsi="Arial Narrow" w:cs="Calibri"/>
          <w:b/>
          <w:sz w:val="24"/>
          <w:szCs w:val="24"/>
          <w:shd w:val="clear" w:color="auto" w:fill="FFFFFF"/>
        </w:rPr>
        <w:t xml:space="preserve"> POR TIPO DE VIGILANCIA</w:t>
      </w:r>
    </w:p>
    <w:p w14:paraId="19A76B9F" w14:textId="77777777" w:rsidR="00437409" w:rsidRPr="002B3EE9" w:rsidRDefault="00437409" w:rsidP="00437409">
      <w:pPr>
        <w:ind w:right="50"/>
        <w:rPr>
          <w:rFonts w:ascii="Arial Narrow" w:hAnsi="Arial Narrow" w:cs="Calibri"/>
          <w:sz w:val="24"/>
          <w:szCs w:val="24"/>
          <w:highlight w:val="yellow"/>
          <w:shd w:val="clear" w:color="auto" w:fill="FFFFFF"/>
          <w:lang w:val="es-CO"/>
        </w:rPr>
      </w:pPr>
      <w:r w:rsidRPr="002B3EE9">
        <w:rPr>
          <w:rFonts w:ascii="Arial Narrow" w:hAnsi="Arial Narrow" w:cs="Calibri"/>
          <w:sz w:val="24"/>
          <w:szCs w:val="24"/>
          <w:highlight w:val="yellow"/>
          <w:shd w:val="clear" w:color="auto" w:fill="FFFFFF"/>
        </w:rPr>
        <w:fldChar w:fldCharType="begin"/>
      </w:r>
      <w:r w:rsidRPr="002B3EE9">
        <w:rPr>
          <w:rFonts w:ascii="Arial Narrow" w:hAnsi="Arial Narrow" w:cs="Calibri"/>
          <w:sz w:val="24"/>
          <w:szCs w:val="24"/>
          <w:highlight w:val="yellow"/>
          <w:shd w:val="clear" w:color="auto" w:fill="FFFFFF"/>
        </w:rPr>
        <w:instrText xml:space="preserve"> LINK Excel.Sheet.12 "C:\\Users\\lcaicedo.SUPERTRANSPORTE\\Desktop\\Dane\\CONTRIBUCION 2019\\NIIF - Ingresos Reportados_14_3_2019 .xlsx" Hoja1!F1C1:F5C2 \a \f 4 \h  \* MERGEFORMAT </w:instrText>
      </w:r>
      <w:r w:rsidRPr="002B3EE9">
        <w:rPr>
          <w:rFonts w:ascii="Arial Narrow" w:hAnsi="Arial Narrow" w:cs="Calibri"/>
          <w:sz w:val="24"/>
          <w:szCs w:val="24"/>
          <w:highlight w:val="yellow"/>
          <w:shd w:val="clear" w:color="auto" w:fill="FFFFFF"/>
        </w:rPr>
        <w:fldChar w:fldCharType="separate"/>
      </w:r>
    </w:p>
    <w:tbl>
      <w:tblPr>
        <w:tblW w:w="5714" w:type="dxa"/>
        <w:tblInd w:w="1794" w:type="dxa"/>
        <w:tblCellMar>
          <w:left w:w="70" w:type="dxa"/>
          <w:right w:w="70" w:type="dxa"/>
        </w:tblCellMar>
        <w:tblLook w:val="04A0" w:firstRow="1" w:lastRow="0" w:firstColumn="1" w:lastColumn="0" w:noHBand="0" w:noVBand="1"/>
      </w:tblPr>
      <w:tblGrid>
        <w:gridCol w:w="3256"/>
        <w:gridCol w:w="2458"/>
      </w:tblGrid>
      <w:tr w:rsidR="00437409" w:rsidRPr="00BA2BE4" w14:paraId="550EEAE1" w14:textId="77777777" w:rsidTr="00991E4A">
        <w:trPr>
          <w:trHeight w:val="6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86AF5" w14:textId="77777777" w:rsidR="00437409" w:rsidRPr="00BA2BE4" w:rsidRDefault="00437409" w:rsidP="00991E4A">
            <w:pPr>
              <w:ind w:right="50"/>
              <w:jc w:val="center"/>
              <w:rPr>
                <w:rFonts w:ascii="Arial Narrow" w:hAnsi="Arial Narrow" w:cs="Calibri"/>
                <w:b/>
                <w:sz w:val="24"/>
                <w:szCs w:val="24"/>
                <w:shd w:val="clear" w:color="auto" w:fill="FFFFFF"/>
                <w:lang w:val="es-CO"/>
              </w:rPr>
            </w:pPr>
            <w:r w:rsidRPr="00BA2BE4">
              <w:rPr>
                <w:rFonts w:ascii="Arial Narrow" w:hAnsi="Arial Narrow" w:cs="Calibri"/>
                <w:b/>
                <w:sz w:val="24"/>
                <w:szCs w:val="24"/>
                <w:shd w:val="clear" w:color="auto" w:fill="FFFFFF"/>
                <w:lang w:val="es-CO"/>
              </w:rPr>
              <w:t>Tipo de vigilancia</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778C1BAE" w14:textId="77777777" w:rsidR="00437409" w:rsidRPr="00BA2BE4" w:rsidRDefault="00437409" w:rsidP="004E6CED">
            <w:pPr>
              <w:ind w:right="50"/>
              <w:jc w:val="center"/>
              <w:rPr>
                <w:rFonts w:ascii="Arial Narrow" w:hAnsi="Arial Narrow" w:cs="Calibri"/>
                <w:b/>
                <w:sz w:val="24"/>
                <w:szCs w:val="24"/>
                <w:shd w:val="clear" w:color="auto" w:fill="FFFFFF"/>
                <w:lang w:val="es-CO"/>
              </w:rPr>
            </w:pPr>
            <w:r w:rsidRPr="00BA2BE4">
              <w:rPr>
                <w:rFonts w:ascii="Arial Narrow" w:hAnsi="Arial Narrow" w:cs="Calibri"/>
                <w:b/>
                <w:sz w:val="24"/>
                <w:szCs w:val="24"/>
                <w:shd w:val="clear" w:color="auto" w:fill="FFFFFF"/>
                <w:lang w:val="es-CO"/>
              </w:rPr>
              <w:t xml:space="preserve">Ingresos brutos </w:t>
            </w:r>
            <w:r w:rsidRPr="00BA2BE4">
              <w:rPr>
                <w:rFonts w:ascii="Arial Narrow" w:hAnsi="Arial Narrow" w:cs="Calibri"/>
                <w:b/>
                <w:sz w:val="24"/>
                <w:szCs w:val="24"/>
                <w:shd w:val="clear" w:color="auto" w:fill="FFFFFF"/>
                <w:lang w:val="es-CO"/>
              </w:rPr>
              <w:br/>
            </w:r>
            <w:r w:rsidR="004E6CED" w:rsidRPr="00BA2BE4">
              <w:rPr>
                <w:rFonts w:ascii="Arial Narrow" w:hAnsi="Arial Narrow" w:cs="Calibri"/>
                <w:b/>
                <w:sz w:val="24"/>
                <w:szCs w:val="24"/>
                <w:shd w:val="clear" w:color="auto" w:fill="FFFFFF"/>
                <w:lang w:val="es-CO"/>
              </w:rPr>
              <w:t>reportados para el año 2019</w:t>
            </w:r>
          </w:p>
        </w:tc>
      </w:tr>
      <w:tr w:rsidR="00437409" w:rsidRPr="00BA2BE4" w14:paraId="2A67DE96" w14:textId="77777777" w:rsidTr="00991E4A">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8559F91" w14:textId="77777777" w:rsidR="00437409" w:rsidRPr="00BA2BE4" w:rsidRDefault="00437409" w:rsidP="00991E4A">
            <w:pPr>
              <w:ind w:right="50"/>
              <w:rPr>
                <w:rFonts w:ascii="Arial Narrow" w:hAnsi="Arial Narrow" w:cs="Calibri"/>
                <w:sz w:val="24"/>
                <w:szCs w:val="24"/>
                <w:shd w:val="clear" w:color="auto" w:fill="FFFFFF"/>
                <w:lang w:val="es-CO"/>
              </w:rPr>
            </w:pPr>
            <w:r w:rsidRPr="00BA2BE4">
              <w:rPr>
                <w:rFonts w:ascii="Arial Narrow" w:hAnsi="Arial Narrow" w:cs="Calibri"/>
                <w:sz w:val="24"/>
                <w:szCs w:val="24"/>
                <w:shd w:val="clear" w:color="auto" w:fill="FFFFFF"/>
                <w:lang w:val="es-CO"/>
              </w:rPr>
              <w:t>Sujetos de Vigilancia Integral</w:t>
            </w:r>
          </w:p>
        </w:tc>
        <w:tc>
          <w:tcPr>
            <w:tcW w:w="2458" w:type="dxa"/>
            <w:tcBorders>
              <w:top w:val="nil"/>
              <w:left w:val="nil"/>
              <w:bottom w:val="single" w:sz="4" w:space="0" w:color="auto"/>
              <w:right w:val="single" w:sz="4" w:space="0" w:color="auto"/>
            </w:tcBorders>
            <w:shd w:val="clear" w:color="auto" w:fill="auto"/>
            <w:noWrap/>
            <w:vAlign w:val="bottom"/>
            <w:hideMark/>
          </w:tcPr>
          <w:p w14:paraId="47D751BF" w14:textId="77777777" w:rsidR="00437409" w:rsidRPr="00BA2BE4" w:rsidRDefault="00F40E11" w:rsidP="00765C2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lang w:val="es-CO"/>
              </w:rPr>
              <w:t>$</w:t>
            </w:r>
            <w:r w:rsidR="00765C22" w:rsidRPr="00BA2BE4">
              <w:rPr>
                <w:rFonts w:ascii="Arial Narrow" w:hAnsi="Arial Narrow" w:cs="Calibri"/>
                <w:sz w:val="24"/>
                <w:szCs w:val="24"/>
                <w:shd w:val="clear" w:color="auto" w:fill="FFFFFF"/>
                <w:lang w:val="es-CO"/>
              </w:rPr>
              <w:t>30,542,279,398,826</w:t>
            </w:r>
          </w:p>
        </w:tc>
      </w:tr>
      <w:tr w:rsidR="00437409" w:rsidRPr="00BA2BE4" w14:paraId="7F78161F" w14:textId="77777777" w:rsidTr="00991E4A">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DD2DDEE" w14:textId="77777777" w:rsidR="00437409" w:rsidRPr="00BA2BE4" w:rsidRDefault="00437409" w:rsidP="00991E4A">
            <w:pPr>
              <w:ind w:right="50"/>
              <w:rPr>
                <w:rFonts w:ascii="Arial Narrow" w:hAnsi="Arial Narrow" w:cs="Calibri"/>
                <w:sz w:val="24"/>
                <w:szCs w:val="24"/>
                <w:shd w:val="clear" w:color="auto" w:fill="FFFFFF"/>
                <w:lang w:val="es-CO"/>
              </w:rPr>
            </w:pPr>
            <w:r w:rsidRPr="00BA2BE4">
              <w:rPr>
                <w:rFonts w:ascii="Arial Narrow" w:hAnsi="Arial Narrow" w:cs="Calibri"/>
                <w:sz w:val="24"/>
                <w:szCs w:val="24"/>
                <w:shd w:val="clear" w:color="auto" w:fill="FFFFFF"/>
                <w:lang w:val="es-CO"/>
              </w:rPr>
              <w:t>Sujetos de Vigilancia Objetiva</w:t>
            </w:r>
          </w:p>
        </w:tc>
        <w:tc>
          <w:tcPr>
            <w:tcW w:w="2458" w:type="dxa"/>
            <w:tcBorders>
              <w:top w:val="nil"/>
              <w:left w:val="nil"/>
              <w:bottom w:val="single" w:sz="4" w:space="0" w:color="auto"/>
              <w:right w:val="single" w:sz="4" w:space="0" w:color="auto"/>
            </w:tcBorders>
            <w:shd w:val="clear" w:color="auto" w:fill="auto"/>
            <w:noWrap/>
            <w:vAlign w:val="bottom"/>
            <w:hideMark/>
          </w:tcPr>
          <w:p w14:paraId="4D98F191" w14:textId="77777777" w:rsidR="00437409" w:rsidRPr="00BA2BE4" w:rsidRDefault="00F40E11" w:rsidP="00765C2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lang w:val="es-CO"/>
              </w:rPr>
              <w:t>$</w:t>
            </w:r>
            <w:r w:rsidR="00765C22" w:rsidRPr="00BA2BE4">
              <w:rPr>
                <w:rFonts w:ascii="Arial Narrow" w:hAnsi="Arial Narrow" w:cs="Calibri"/>
                <w:sz w:val="24"/>
                <w:szCs w:val="24"/>
                <w:shd w:val="clear" w:color="auto" w:fill="FFFFFF"/>
                <w:lang w:val="es-CO"/>
              </w:rPr>
              <w:t>203,708,695,656</w:t>
            </w:r>
          </w:p>
        </w:tc>
      </w:tr>
      <w:tr w:rsidR="00437409" w:rsidRPr="00BA2BE4" w14:paraId="0837241A" w14:textId="77777777" w:rsidTr="00991E4A">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CF5AA48" w14:textId="77777777" w:rsidR="00437409" w:rsidRPr="00BA2BE4" w:rsidRDefault="00437409" w:rsidP="00991E4A">
            <w:pPr>
              <w:ind w:right="50"/>
              <w:rPr>
                <w:rFonts w:ascii="Arial Narrow" w:hAnsi="Arial Narrow" w:cs="Calibri"/>
                <w:sz w:val="24"/>
                <w:szCs w:val="24"/>
                <w:shd w:val="clear" w:color="auto" w:fill="FFFFFF"/>
                <w:lang w:val="es-CO"/>
              </w:rPr>
            </w:pPr>
            <w:r w:rsidRPr="00BA2BE4">
              <w:rPr>
                <w:rFonts w:ascii="Arial Narrow" w:hAnsi="Arial Narrow" w:cs="Calibri"/>
                <w:sz w:val="24"/>
                <w:szCs w:val="24"/>
                <w:shd w:val="clear" w:color="auto" w:fill="FFFFFF"/>
                <w:lang w:val="es-CO"/>
              </w:rPr>
              <w:t>Sujetos de Vigilancia Subjetiva</w:t>
            </w:r>
          </w:p>
        </w:tc>
        <w:tc>
          <w:tcPr>
            <w:tcW w:w="2458" w:type="dxa"/>
            <w:tcBorders>
              <w:top w:val="nil"/>
              <w:left w:val="nil"/>
              <w:bottom w:val="single" w:sz="4" w:space="0" w:color="auto"/>
              <w:right w:val="single" w:sz="4" w:space="0" w:color="auto"/>
            </w:tcBorders>
            <w:shd w:val="clear" w:color="auto" w:fill="auto"/>
            <w:noWrap/>
            <w:vAlign w:val="bottom"/>
            <w:hideMark/>
          </w:tcPr>
          <w:p w14:paraId="37927249" w14:textId="77777777" w:rsidR="00437409" w:rsidRPr="00BA2BE4" w:rsidRDefault="00F40E11" w:rsidP="00765C2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lang w:val="es-CO"/>
              </w:rPr>
              <w:t>$</w:t>
            </w:r>
            <w:r w:rsidR="00765C22" w:rsidRPr="00BA2BE4">
              <w:rPr>
                <w:rFonts w:ascii="Arial Narrow" w:hAnsi="Arial Narrow" w:cs="Calibri"/>
                <w:sz w:val="24"/>
                <w:szCs w:val="24"/>
                <w:shd w:val="clear" w:color="auto" w:fill="FFFFFF"/>
                <w:lang w:val="es-CO"/>
              </w:rPr>
              <w:t>22,937,573,625,172</w:t>
            </w:r>
          </w:p>
        </w:tc>
      </w:tr>
      <w:tr w:rsidR="00437409" w:rsidRPr="002B3EE9" w14:paraId="4C4D2565" w14:textId="77777777" w:rsidTr="00991E4A">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670BB28" w14:textId="77777777" w:rsidR="00437409" w:rsidRPr="00BA2BE4" w:rsidRDefault="00437409" w:rsidP="00991E4A">
            <w:pPr>
              <w:ind w:right="50"/>
              <w:rPr>
                <w:rFonts w:ascii="Arial Narrow" w:hAnsi="Arial Narrow" w:cs="Calibri"/>
                <w:sz w:val="24"/>
                <w:szCs w:val="24"/>
                <w:shd w:val="clear" w:color="auto" w:fill="FFFFFF"/>
                <w:lang w:val="es-CO"/>
              </w:rPr>
            </w:pPr>
            <w:r w:rsidRPr="00BA2BE4">
              <w:rPr>
                <w:rFonts w:ascii="Arial Narrow" w:hAnsi="Arial Narrow" w:cs="Calibri"/>
                <w:sz w:val="24"/>
                <w:szCs w:val="24"/>
                <w:shd w:val="clear" w:color="auto" w:fill="FFFFFF"/>
                <w:lang w:val="es-CO"/>
              </w:rPr>
              <w:t>Total</w:t>
            </w:r>
          </w:p>
        </w:tc>
        <w:tc>
          <w:tcPr>
            <w:tcW w:w="2458" w:type="dxa"/>
            <w:tcBorders>
              <w:top w:val="nil"/>
              <w:left w:val="nil"/>
              <w:bottom w:val="single" w:sz="4" w:space="0" w:color="auto"/>
              <w:right w:val="single" w:sz="4" w:space="0" w:color="auto"/>
            </w:tcBorders>
            <w:shd w:val="clear" w:color="auto" w:fill="auto"/>
            <w:noWrap/>
            <w:vAlign w:val="bottom"/>
            <w:hideMark/>
          </w:tcPr>
          <w:p w14:paraId="6DC8D2D5" w14:textId="77777777" w:rsidR="00437409" w:rsidRPr="00BA2BE4" w:rsidRDefault="00F40E11" w:rsidP="00765C22">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lang w:val="es-CO"/>
              </w:rPr>
              <w:t>$</w:t>
            </w:r>
            <w:r w:rsidR="00765C22" w:rsidRPr="00BA2BE4">
              <w:rPr>
                <w:rFonts w:ascii="Arial Narrow" w:hAnsi="Arial Narrow" w:cs="Calibri"/>
                <w:sz w:val="24"/>
                <w:szCs w:val="24"/>
                <w:shd w:val="clear" w:color="auto" w:fill="FFFFFF"/>
                <w:lang w:val="es-CO"/>
              </w:rPr>
              <w:t>53,683,561,719,654</w:t>
            </w:r>
          </w:p>
        </w:tc>
      </w:tr>
    </w:tbl>
    <w:p w14:paraId="46A082CF" w14:textId="09A6B45D" w:rsidR="00437409" w:rsidRPr="00EE23E2" w:rsidRDefault="00437409" w:rsidP="00437409">
      <w:pPr>
        <w:ind w:right="50"/>
        <w:jc w:val="both"/>
        <w:rPr>
          <w:rFonts w:ascii="Arial Narrow" w:hAnsi="Arial Narrow" w:cs="Calibri"/>
          <w:sz w:val="24"/>
          <w:szCs w:val="24"/>
          <w:shd w:val="clear" w:color="auto" w:fill="FFFFFF"/>
        </w:rPr>
      </w:pPr>
      <w:r w:rsidRPr="002B3EE9">
        <w:rPr>
          <w:rFonts w:ascii="Arial Narrow" w:hAnsi="Arial Narrow" w:cs="Calibri"/>
          <w:sz w:val="24"/>
          <w:szCs w:val="24"/>
          <w:highlight w:val="yellow"/>
          <w:shd w:val="clear" w:color="auto" w:fill="FFFFFF"/>
        </w:rPr>
        <w:fldChar w:fldCharType="end"/>
      </w:r>
      <w:r w:rsidRPr="00EE23E2">
        <w:rPr>
          <w:rFonts w:ascii="Arial Narrow" w:hAnsi="Arial Narrow" w:cs="Calibri"/>
          <w:b/>
          <w:sz w:val="24"/>
          <w:szCs w:val="24"/>
          <w:shd w:val="clear" w:color="auto" w:fill="FFFFFF"/>
        </w:rPr>
        <w:br/>
      </w:r>
      <w:r w:rsidR="00F1103C" w:rsidRPr="00F1103C">
        <w:rPr>
          <w:rFonts w:ascii="Arial Narrow" w:hAnsi="Arial Narrow" w:cs="Calibri"/>
          <w:sz w:val="24"/>
          <w:szCs w:val="24"/>
          <w:shd w:val="clear" w:color="auto" w:fill="FFFFFF"/>
        </w:rPr>
        <w:t xml:space="preserve">Que mediante la Ley 2008 del 27 de diciembre de 2019, </w:t>
      </w:r>
      <w:r w:rsidR="00F1103C" w:rsidRPr="00F1103C">
        <w:rPr>
          <w:rFonts w:ascii="Arial Narrow" w:hAnsi="Arial Narrow" w:cs="Calibri"/>
          <w:i/>
          <w:iCs/>
          <w:sz w:val="24"/>
          <w:szCs w:val="24"/>
          <w:shd w:val="clear" w:color="auto" w:fill="FFFFFF"/>
        </w:rPr>
        <w:t>“Por la cual se decreta el presupuesto de rentas y recursos de capital y Ley de apropiaciones para la vigencia fiscal del 1o. de enero al 31 de diciembre de 2020”</w:t>
      </w:r>
      <w:r w:rsidR="00F1103C" w:rsidRPr="00F1103C">
        <w:rPr>
          <w:rFonts w:ascii="Arial Narrow" w:hAnsi="Arial Narrow" w:cs="Calibri"/>
          <w:sz w:val="24"/>
          <w:szCs w:val="24"/>
          <w:shd w:val="clear" w:color="auto" w:fill="FFFFFF"/>
        </w:rPr>
        <w:t xml:space="preserve">, se asignó a la Superintendencia de Transporte una apropiación en el Presupuesto de Gastos para la </w:t>
      </w:r>
      <w:r w:rsidR="00A463B2">
        <w:rPr>
          <w:rFonts w:ascii="Arial Narrow" w:hAnsi="Arial Narrow" w:cs="Calibri"/>
          <w:sz w:val="24"/>
          <w:szCs w:val="24"/>
          <w:shd w:val="clear" w:color="auto" w:fill="FFFFFF"/>
        </w:rPr>
        <w:t>vigencia 2020</w:t>
      </w:r>
      <w:r w:rsidR="00F1103C" w:rsidRPr="00F1103C">
        <w:rPr>
          <w:rFonts w:ascii="Arial Narrow" w:hAnsi="Arial Narrow" w:cs="Calibri"/>
          <w:sz w:val="24"/>
          <w:szCs w:val="24"/>
          <w:shd w:val="clear" w:color="auto" w:fill="FFFFFF"/>
        </w:rPr>
        <w:t xml:space="preserve"> por valor de </w:t>
      </w:r>
      <w:r w:rsidR="00F1103C">
        <w:rPr>
          <w:rFonts w:ascii="Arial Narrow" w:hAnsi="Arial Narrow" w:cs="Calibri"/>
          <w:sz w:val="24"/>
          <w:szCs w:val="24"/>
          <w:shd w:val="clear" w:color="auto" w:fill="FFFFFF"/>
        </w:rPr>
        <w:t>CINCUENTA Y DOS MIL TRESCIENTOS TRES MILLONES DE PESOS</w:t>
      </w:r>
      <w:r w:rsidR="00F1103C" w:rsidRPr="00F1103C">
        <w:rPr>
          <w:rFonts w:ascii="Arial Narrow" w:hAnsi="Arial Narrow" w:cs="Calibri"/>
          <w:sz w:val="24"/>
          <w:szCs w:val="24"/>
          <w:shd w:val="clear" w:color="auto" w:fill="FFFFFF"/>
        </w:rPr>
        <w:t xml:space="preserve"> M/C</w:t>
      </w:r>
      <w:r w:rsidR="00F1103C">
        <w:rPr>
          <w:rFonts w:ascii="Arial Narrow" w:hAnsi="Arial Narrow" w:cs="Calibri"/>
          <w:sz w:val="24"/>
          <w:szCs w:val="24"/>
          <w:shd w:val="clear" w:color="auto" w:fill="FFFFFF"/>
        </w:rPr>
        <w:t>TE.</w:t>
      </w:r>
      <w:r w:rsidR="00F1103C" w:rsidRPr="00F1103C">
        <w:rPr>
          <w:rFonts w:ascii="Arial Narrow" w:hAnsi="Arial Narrow" w:cs="Calibri"/>
          <w:sz w:val="24"/>
          <w:szCs w:val="24"/>
          <w:shd w:val="clear" w:color="auto" w:fill="FFFFFF"/>
        </w:rPr>
        <w:t xml:space="preserve"> ($52.303.000.000).</w:t>
      </w:r>
    </w:p>
    <w:p w14:paraId="16C7275A" w14:textId="77777777" w:rsidR="00437409" w:rsidRPr="002B3EE9" w:rsidRDefault="00437409" w:rsidP="00437409">
      <w:pPr>
        <w:ind w:right="50"/>
        <w:rPr>
          <w:rFonts w:ascii="Arial Narrow" w:hAnsi="Arial Narrow" w:cs="Calibri"/>
          <w:sz w:val="24"/>
          <w:szCs w:val="24"/>
          <w:highlight w:val="yellow"/>
          <w:shd w:val="clear" w:color="auto" w:fill="FFFFFF"/>
        </w:rPr>
      </w:pPr>
    </w:p>
    <w:p w14:paraId="713D6D9A" w14:textId="7455DD92" w:rsidR="00437409" w:rsidRPr="00EE23E2" w:rsidRDefault="00437409" w:rsidP="00437409">
      <w:pPr>
        <w:ind w:right="50"/>
        <w:jc w:val="both"/>
        <w:rPr>
          <w:rFonts w:ascii="Arial Narrow" w:hAnsi="Arial Narrow" w:cs="Calibri"/>
          <w:sz w:val="24"/>
          <w:szCs w:val="24"/>
          <w:shd w:val="clear" w:color="auto" w:fill="FFFFFF"/>
        </w:rPr>
      </w:pPr>
      <w:r w:rsidRPr="00EE23E2">
        <w:rPr>
          <w:rFonts w:ascii="Arial Narrow" w:hAnsi="Arial Narrow" w:cs="Calibri"/>
          <w:sz w:val="24"/>
          <w:szCs w:val="24"/>
          <w:shd w:val="clear" w:color="auto" w:fill="FFFFFF"/>
        </w:rPr>
        <w:lastRenderedPageBreak/>
        <w:t xml:space="preserve">Que mediante el </w:t>
      </w:r>
      <w:r w:rsidR="00D67910">
        <w:rPr>
          <w:rFonts w:ascii="Arial Narrow" w:hAnsi="Arial Narrow" w:cs="Calibri"/>
          <w:sz w:val="24"/>
          <w:szCs w:val="24"/>
          <w:shd w:val="clear" w:color="auto" w:fill="FFFFFF"/>
        </w:rPr>
        <w:t xml:space="preserve">Decreto 2411 del 30 </w:t>
      </w:r>
      <w:r w:rsidR="00EE23E2" w:rsidRPr="00EE23E2">
        <w:rPr>
          <w:rFonts w:ascii="Arial Narrow" w:hAnsi="Arial Narrow" w:cs="Calibri"/>
          <w:sz w:val="24"/>
          <w:szCs w:val="24"/>
          <w:shd w:val="clear" w:color="auto" w:fill="FFFFFF"/>
        </w:rPr>
        <w:t>de diciembre de 2019</w:t>
      </w:r>
      <w:r w:rsidRPr="00EE23E2">
        <w:rPr>
          <w:rFonts w:ascii="Arial Narrow" w:hAnsi="Arial Narrow" w:cs="Calibri"/>
          <w:i/>
          <w:sz w:val="24"/>
          <w:szCs w:val="24"/>
          <w:shd w:val="clear" w:color="auto" w:fill="FFFFFF"/>
        </w:rPr>
        <w:t>, “Por el cual se liquida el Presupuesto General de la Nación</w:t>
      </w:r>
      <w:r w:rsidR="00EE23E2" w:rsidRPr="00EE23E2">
        <w:rPr>
          <w:rFonts w:ascii="Arial Narrow" w:hAnsi="Arial Narrow" w:cs="Calibri"/>
          <w:i/>
          <w:sz w:val="24"/>
          <w:szCs w:val="24"/>
          <w:shd w:val="clear" w:color="auto" w:fill="FFFFFF"/>
        </w:rPr>
        <w:t xml:space="preserve"> para la vigencia fiscal de 2020</w:t>
      </w:r>
      <w:r w:rsidRPr="00EE23E2">
        <w:rPr>
          <w:rFonts w:ascii="Arial Narrow" w:hAnsi="Arial Narrow" w:cs="Calibri"/>
          <w:i/>
          <w:sz w:val="24"/>
          <w:szCs w:val="24"/>
          <w:shd w:val="clear" w:color="auto" w:fill="FFFFFF"/>
        </w:rPr>
        <w:t xml:space="preserve">, se detallan las apropiaciones y se clasifican y definen los gastos”, </w:t>
      </w:r>
      <w:r w:rsidRPr="00EE23E2">
        <w:rPr>
          <w:rFonts w:ascii="Arial Narrow" w:hAnsi="Arial Narrow" w:cs="Calibri"/>
          <w:sz w:val="24"/>
          <w:szCs w:val="24"/>
          <w:shd w:val="clear" w:color="auto" w:fill="FFFFFF"/>
        </w:rPr>
        <w:t>se estableció que los gastos de funcionamiento e inversión de la Superintendenci</w:t>
      </w:r>
      <w:r w:rsidR="00EE23E2">
        <w:rPr>
          <w:rFonts w:ascii="Arial Narrow" w:hAnsi="Arial Narrow" w:cs="Calibri"/>
          <w:sz w:val="24"/>
          <w:szCs w:val="24"/>
          <w:shd w:val="clear" w:color="auto" w:fill="FFFFFF"/>
        </w:rPr>
        <w:t xml:space="preserve">a de Transporte para </w:t>
      </w:r>
      <w:r w:rsidR="00F1103C">
        <w:rPr>
          <w:rFonts w:ascii="Arial Narrow" w:hAnsi="Arial Narrow" w:cs="Calibri"/>
          <w:sz w:val="24"/>
          <w:szCs w:val="24"/>
          <w:shd w:val="clear" w:color="auto" w:fill="FFFFFF"/>
        </w:rPr>
        <w:t>la vigencia</w:t>
      </w:r>
      <w:r w:rsidR="00EE23E2">
        <w:rPr>
          <w:rFonts w:ascii="Arial Narrow" w:hAnsi="Arial Narrow" w:cs="Calibri"/>
          <w:sz w:val="24"/>
          <w:szCs w:val="24"/>
          <w:shd w:val="clear" w:color="auto" w:fill="FFFFFF"/>
        </w:rPr>
        <w:t xml:space="preserve"> 2020</w:t>
      </w:r>
      <w:r w:rsidRPr="00EE23E2">
        <w:rPr>
          <w:rFonts w:ascii="Arial Narrow" w:hAnsi="Arial Narrow" w:cs="Calibri"/>
          <w:sz w:val="24"/>
          <w:szCs w:val="24"/>
          <w:shd w:val="clear" w:color="auto" w:fill="FFFFFF"/>
        </w:rPr>
        <w:t xml:space="preserve"> corresponden a los montos descritos a continuación:</w:t>
      </w:r>
    </w:p>
    <w:p w14:paraId="5CA298D7" w14:textId="77777777" w:rsidR="00437409" w:rsidRPr="00CA10F7" w:rsidRDefault="00437409" w:rsidP="00437409">
      <w:pPr>
        <w:ind w:right="50"/>
        <w:rPr>
          <w:rFonts w:ascii="Arial Narrow" w:hAnsi="Arial Narrow" w:cs="Calibri"/>
          <w:sz w:val="24"/>
          <w:szCs w:val="24"/>
          <w:shd w:val="clear" w:color="auto" w:fill="FFFFFF"/>
        </w:rPr>
      </w:pPr>
    </w:p>
    <w:p w14:paraId="64CE5F86" w14:textId="77777777" w:rsidR="00437409" w:rsidRPr="00CA10F7" w:rsidRDefault="00437409" w:rsidP="00437409">
      <w:pPr>
        <w:ind w:right="50"/>
        <w:jc w:val="center"/>
        <w:rPr>
          <w:rFonts w:ascii="Arial Narrow" w:hAnsi="Arial Narrow" w:cs="Calibri"/>
          <w:b/>
          <w:sz w:val="24"/>
          <w:szCs w:val="24"/>
          <w:shd w:val="clear" w:color="auto" w:fill="FFFFFF"/>
        </w:rPr>
      </w:pPr>
      <w:r w:rsidRPr="00CA10F7">
        <w:rPr>
          <w:rFonts w:ascii="Arial Narrow" w:hAnsi="Arial Narrow" w:cs="Calibri"/>
          <w:b/>
          <w:sz w:val="24"/>
          <w:szCs w:val="24"/>
          <w:shd w:val="clear" w:color="auto" w:fill="FFFFFF"/>
        </w:rPr>
        <w:t>GASTOS DE FUNCIONAMIENTO E INVERSIÓN DE LA ST</w:t>
      </w:r>
      <w:r w:rsidR="00EE23E2" w:rsidRPr="00CA10F7">
        <w:rPr>
          <w:rFonts w:ascii="Arial Narrow" w:hAnsi="Arial Narrow" w:cs="Calibri"/>
          <w:b/>
          <w:sz w:val="24"/>
          <w:szCs w:val="24"/>
          <w:shd w:val="clear" w:color="auto" w:fill="FFFFFF"/>
        </w:rPr>
        <w:t xml:space="preserve"> VIGENCIA 2020</w:t>
      </w:r>
    </w:p>
    <w:p w14:paraId="5C337557" w14:textId="77777777" w:rsidR="00437409" w:rsidRPr="00CA10F7" w:rsidRDefault="00437409" w:rsidP="00437409">
      <w:pPr>
        <w:ind w:right="50"/>
        <w:rPr>
          <w:rFonts w:ascii="Arial Narrow" w:hAnsi="Arial Narrow" w:cs="Calibri"/>
          <w:sz w:val="24"/>
          <w:szCs w:val="24"/>
          <w:shd w:val="clear" w:color="auto" w:fill="FFFFFF"/>
        </w:rPr>
      </w:pPr>
    </w:p>
    <w:tbl>
      <w:tblPr>
        <w:tblW w:w="5162" w:type="dxa"/>
        <w:jc w:val="center"/>
        <w:tblCellMar>
          <w:left w:w="70" w:type="dxa"/>
          <w:right w:w="70" w:type="dxa"/>
        </w:tblCellMar>
        <w:tblLook w:val="04A0" w:firstRow="1" w:lastRow="0" w:firstColumn="1" w:lastColumn="0" w:noHBand="0" w:noVBand="1"/>
      </w:tblPr>
      <w:tblGrid>
        <w:gridCol w:w="2894"/>
        <w:gridCol w:w="2268"/>
      </w:tblGrid>
      <w:tr w:rsidR="00437409" w:rsidRPr="00CA10F7" w14:paraId="7849F7B8" w14:textId="77777777" w:rsidTr="00F43F88">
        <w:trPr>
          <w:trHeight w:val="720"/>
          <w:jc w:val="center"/>
        </w:trPr>
        <w:tc>
          <w:tcPr>
            <w:tcW w:w="516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D296665" w14:textId="77777777" w:rsidR="00437409" w:rsidRPr="008A2009" w:rsidRDefault="00437409" w:rsidP="00991E4A">
            <w:pPr>
              <w:ind w:right="50"/>
              <w:jc w:val="center"/>
              <w:rPr>
                <w:rFonts w:ascii="Arial Narrow" w:hAnsi="Arial Narrow" w:cs="Calibri"/>
                <w:b/>
                <w:sz w:val="24"/>
                <w:szCs w:val="24"/>
                <w:shd w:val="clear" w:color="auto" w:fill="FFFFFF"/>
                <w:lang w:val="es-CO"/>
              </w:rPr>
            </w:pPr>
            <w:r w:rsidRPr="008A2009">
              <w:rPr>
                <w:rFonts w:ascii="Arial Narrow" w:hAnsi="Arial Narrow" w:cs="Calibri"/>
                <w:b/>
                <w:sz w:val="24"/>
                <w:szCs w:val="24"/>
                <w:shd w:val="clear" w:color="auto" w:fill="FFFFFF"/>
                <w:lang w:val="es-CO"/>
              </w:rPr>
              <w:t>Gastos de func</w:t>
            </w:r>
            <w:r w:rsidR="00EE23E2" w:rsidRPr="008A2009">
              <w:rPr>
                <w:rFonts w:ascii="Arial Narrow" w:hAnsi="Arial Narrow" w:cs="Calibri"/>
                <w:b/>
                <w:sz w:val="24"/>
                <w:szCs w:val="24"/>
                <w:shd w:val="clear" w:color="auto" w:fill="FFFFFF"/>
                <w:lang w:val="es-CO"/>
              </w:rPr>
              <w:t>ionamiento e inversión</w:t>
            </w:r>
            <w:r w:rsidR="00EE23E2" w:rsidRPr="008A2009">
              <w:rPr>
                <w:rFonts w:ascii="Arial Narrow" w:hAnsi="Arial Narrow" w:cs="Calibri"/>
                <w:b/>
                <w:sz w:val="24"/>
                <w:szCs w:val="24"/>
                <w:shd w:val="clear" w:color="auto" w:fill="FFFFFF"/>
                <w:lang w:val="es-CO"/>
              </w:rPr>
              <w:br/>
              <w:t>para 2020</w:t>
            </w:r>
          </w:p>
        </w:tc>
      </w:tr>
      <w:tr w:rsidR="00437409" w:rsidRPr="00CA10F7" w14:paraId="5A21ED3B" w14:textId="77777777" w:rsidTr="00F43F88">
        <w:trPr>
          <w:trHeight w:val="555"/>
          <w:jc w:val="center"/>
        </w:trPr>
        <w:tc>
          <w:tcPr>
            <w:tcW w:w="2894"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8B1558A" w14:textId="77777777" w:rsidR="00437409" w:rsidRPr="008A2009" w:rsidRDefault="00437409" w:rsidP="00991E4A">
            <w:pPr>
              <w:ind w:right="50"/>
              <w:jc w:val="center"/>
              <w:rPr>
                <w:rFonts w:ascii="Arial Narrow" w:hAnsi="Arial Narrow" w:cs="Calibri"/>
                <w:b/>
                <w:sz w:val="24"/>
                <w:szCs w:val="24"/>
                <w:shd w:val="clear" w:color="auto" w:fill="FFFFFF"/>
                <w:lang w:val="es-CO"/>
              </w:rPr>
            </w:pPr>
            <w:r w:rsidRPr="008A2009">
              <w:rPr>
                <w:rFonts w:ascii="Arial Narrow" w:hAnsi="Arial Narrow" w:cs="Calibri"/>
                <w:b/>
                <w:sz w:val="24"/>
                <w:szCs w:val="24"/>
                <w:shd w:val="clear" w:color="auto" w:fill="FFFFFF"/>
                <w:lang w:val="es-CO"/>
              </w:rPr>
              <w:t>Tipo de Gasto</w:t>
            </w:r>
          </w:p>
        </w:tc>
        <w:tc>
          <w:tcPr>
            <w:tcW w:w="2268" w:type="dxa"/>
            <w:tcBorders>
              <w:top w:val="nil"/>
              <w:left w:val="nil"/>
              <w:bottom w:val="single" w:sz="4" w:space="0" w:color="auto"/>
              <w:right w:val="single" w:sz="8" w:space="0" w:color="auto"/>
            </w:tcBorders>
            <w:shd w:val="clear" w:color="auto" w:fill="auto"/>
            <w:vAlign w:val="bottom"/>
            <w:hideMark/>
          </w:tcPr>
          <w:p w14:paraId="562B672C" w14:textId="77777777" w:rsidR="00437409" w:rsidRPr="008A2009" w:rsidRDefault="00EE23E2" w:rsidP="00991E4A">
            <w:pPr>
              <w:ind w:right="50"/>
              <w:jc w:val="center"/>
              <w:rPr>
                <w:rFonts w:ascii="Arial Narrow" w:hAnsi="Arial Narrow" w:cs="Calibri"/>
                <w:b/>
                <w:sz w:val="24"/>
                <w:szCs w:val="24"/>
                <w:shd w:val="clear" w:color="auto" w:fill="FFFFFF"/>
                <w:lang w:val="es-CO"/>
              </w:rPr>
            </w:pPr>
            <w:r w:rsidRPr="008A2009">
              <w:rPr>
                <w:rFonts w:ascii="Arial Narrow" w:hAnsi="Arial Narrow" w:cs="Calibri"/>
                <w:b/>
                <w:sz w:val="24"/>
                <w:szCs w:val="24"/>
                <w:shd w:val="clear" w:color="auto" w:fill="FFFFFF"/>
                <w:lang w:val="es-CO"/>
              </w:rPr>
              <w:t>Presupuesto 2020</w:t>
            </w:r>
            <w:r w:rsidR="00437409" w:rsidRPr="008A2009">
              <w:rPr>
                <w:rFonts w:ascii="Arial Narrow" w:hAnsi="Arial Narrow" w:cs="Calibri"/>
                <w:b/>
                <w:sz w:val="24"/>
                <w:szCs w:val="24"/>
                <w:shd w:val="clear" w:color="auto" w:fill="FFFFFF"/>
                <w:lang w:val="es-CO"/>
              </w:rPr>
              <w:br/>
              <w:t>(en pesos)</w:t>
            </w:r>
          </w:p>
        </w:tc>
      </w:tr>
      <w:tr w:rsidR="00437409" w:rsidRPr="002B3EE9" w14:paraId="458D0021" w14:textId="77777777" w:rsidTr="00F43F88">
        <w:trPr>
          <w:trHeight w:val="400"/>
          <w:jc w:val="center"/>
        </w:trPr>
        <w:tc>
          <w:tcPr>
            <w:tcW w:w="28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96E000" w14:textId="77777777" w:rsidR="00437409" w:rsidRPr="008A2009" w:rsidRDefault="00437409" w:rsidP="00991E4A">
            <w:pPr>
              <w:ind w:right="50"/>
              <w:rPr>
                <w:rFonts w:ascii="Arial Narrow" w:hAnsi="Arial Narrow" w:cs="Calibri"/>
                <w:b/>
                <w:sz w:val="24"/>
                <w:szCs w:val="24"/>
                <w:shd w:val="clear" w:color="auto" w:fill="FFFFFF"/>
                <w:lang w:val="es-CO"/>
              </w:rPr>
            </w:pPr>
            <w:r w:rsidRPr="008A2009">
              <w:rPr>
                <w:rFonts w:ascii="Arial Narrow" w:hAnsi="Arial Narrow" w:cs="Calibri"/>
                <w:b/>
                <w:sz w:val="24"/>
                <w:szCs w:val="24"/>
                <w:shd w:val="clear" w:color="auto" w:fill="FFFFFF"/>
                <w:lang w:val="es-CO"/>
              </w:rPr>
              <w:t>Funcionamiento</w:t>
            </w:r>
          </w:p>
        </w:tc>
        <w:tc>
          <w:tcPr>
            <w:tcW w:w="2268" w:type="dxa"/>
            <w:tcBorders>
              <w:top w:val="nil"/>
              <w:left w:val="nil"/>
              <w:bottom w:val="single" w:sz="4" w:space="0" w:color="auto"/>
              <w:right w:val="single" w:sz="8" w:space="0" w:color="auto"/>
            </w:tcBorders>
            <w:shd w:val="clear" w:color="auto" w:fill="auto"/>
            <w:noWrap/>
            <w:vAlign w:val="center"/>
            <w:hideMark/>
          </w:tcPr>
          <w:p w14:paraId="511C4B99" w14:textId="77777777" w:rsidR="00437409" w:rsidRPr="0003131A" w:rsidRDefault="00F43F88" w:rsidP="0003131A">
            <w:pPr>
              <w:ind w:right="50"/>
              <w:jc w:val="right"/>
              <w:rPr>
                <w:rFonts w:ascii="Arial Narrow" w:hAnsi="Arial Narrow" w:cs="Calibri"/>
                <w:sz w:val="24"/>
                <w:szCs w:val="24"/>
                <w:shd w:val="clear" w:color="auto" w:fill="FFFFFF"/>
                <w:lang w:val="es-CO"/>
              </w:rPr>
            </w:pPr>
            <w:r>
              <w:rPr>
                <w:rFonts w:ascii="Arial Narrow" w:hAnsi="Arial Narrow" w:cs="Calibri"/>
                <w:sz w:val="24"/>
                <w:szCs w:val="24"/>
                <w:shd w:val="clear" w:color="auto" w:fill="FFFFFF"/>
                <w:lang w:val="es-CO"/>
              </w:rPr>
              <w:t>$</w:t>
            </w:r>
            <w:r w:rsidR="0003131A" w:rsidRPr="0003131A">
              <w:rPr>
                <w:rFonts w:ascii="Arial Narrow" w:hAnsi="Arial Narrow" w:cs="Calibri"/>
                <w:sz w:val="24"/>
                <w:szCs w:val="24"/>
                <w:shd w:val="clear" w:color="auto" w:fill="FFFFFF"/>
                <w:lang w:val="es-CO"/>
              </w:rPr>
              <w:t>36,526,000,000</w:t>
            </w:r>
            <w:r w:rsidR="00437409" w:rsidRPr="0003131A">
              <w:rPr>
                <w:rFonts w:ascii="Arial Narrow" w:hAnsi="Arial Narrow" w:cs="Calibri"/>
                <w:sz w:val="24"/>
                <w:szCs w:val="24"/>
                <w:shd w:val="clear" w:color="auto" w:fill="FFFFFF"/>
                <w:lang w:val="es-CO"/>
              </w:rPr>
              <w:t xml:space="preserve"> </w:t>
            </w:r>
          </w:p>
        </w:tc>
      </w:tr>
      <w:tr w:rsidR="00437409" w:rsidRPr="002B3EE9" w14:paraId="24EC6AAE" w14:textId="77777777" w:rsidTr="00F43F88">
        <w:trPr>
          <w:trHeight w:val="300"/>
          <w:jc w:val="center"/>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4AB9C5" w14:textId="77777777" w:rsidR="00437409" w:rsidRPr="008A2009" w:rsidRDefault="00437409" w:rsidP="00991E4A">
            <w:pPr>
              <w:ind w:right="50"/>
              <w:rPr>
                <w:rFonts w:ascii="Arial Narrow" w:hAnsi="Arial Narrow" w:cs="Calibri"/>
                <w:b/>
                <w:sz w:val="24"/>
                <w:szCs w:val="24"/>
                <w:shd w:val="clear" w:color="auto" w:fill="FFFFFF"/>
                <w:lang w:val="es-CO"/>
              </w:rPr>
            </w:pPr>
            <w:r w:rsidRPr="008A2009">
              <w:rPr>
                <w:rFonts w:ascii="Arial Narrow" w:hAnsi="Arial Narrow" w:cs="Calibri"/>
                <w:b/>
                <w:sz w:val="24"/>
                <w:szCs w:val="24"/>
                <w:shd w:val="clear" w:color="auto" w:fill="FFFFFF"/>
                <w:lang w:val="es-CO"/>
              </w:rPr>
              <w:t>Inversión</w:t>
            </w:r>
          </w:p>
        </w:tc>
        <w:tc>
          <w:tcPr>
            <w:tcW w:w="2268" w:type="dxa"/>
            <w:tcBorders>
              <w:top w:val="nil"/>
              <w:left w:val="nil"/>
              <w:bottom w:val="single" w:sz="4" w:space="0" w:color="auto"/>
              <w:right w:val="single" w:sz="8" w:space="0" w:color="auto"/>
            </w:tcBorders>
            <w:shd w:val="clear" w:color="auto" w:fill="auto"/>
            <w:noWrap/>
            <w:vAlign w:val="bottom"/>
            <w:hideMark/>
          </w:tcPr>
          <w:p w14:paraId="46C594DB" w14:textId="77777777" w:rsidR="00437409" w:rsidRPr="0003131A" w:rsidRDefault="00437409" w:rsidP="00F43F88">
            <w:pPr>
              <w:ind w:right="50"/>
              <w:jc w:val="right"/>
              <w:rPr>
                <w:rFonts w:ascii="Arial Narrow" w:hAnsi="Arial Narrow" w:cs="Calibri"/>
                <w:sz w:val="24"/>
                <w:szCs w:val="24"/>
                <w:shd w:val="clear" w:color="auto" w:fill="FFFFFF"/>
                <w:lang w:val="es-CO"/>
              </w:rPr>
            </w:pPr>
            <w:r w:rsidRPr="0003131A">
              <w:rPr>
                <w:rFonts w:ascii="Arial Narrow" w:hAnsi="Arial Narrow" w:cs="Calibri"/>
                <w:sz w:val="24"/>
                <w:szCs w:val="24"/>
                <w:shd w:val="clear" w:color="auto" w:fill="FFFFFF"/>
                <w:lang w:val="es-CO"/>
              </w:rPr>
              <w:t>$</w:t>
            </w:r>
            <w:r w:rsidR="00F43F88">
              <w:rPr>
                <w:rFonts w:ascii="Arial Narrow" w:hAnsi="Arial Narrow" w:cs="Calibri"/>
                <w:sz w:val="24"/>
                <w:szCs w:val="24"/>
                <w:shd w:val="clear" w:color="auto" w:fill="FFFFFF"/>
                <w:lang w:val="es-CO"/>
              </w:rPr>
              <w:t>1</w:t>
            </w:r>
            <w:r w:rsidR="0003131A" w:rsidRPr="0003131A">
              <w:rPr>
                <w:rFonts w:ascii="Arial Narrow" w:hAnsi="Arial Narrow" w:cs="Calibri"/>
                <w:sz w:val="24"/>
                <w:szCs w:val="24"/>
                <w:shd w:val="clear" w:color="auto" w:fill="FFFFFF"/>
                <w:lang w:val="es-CO"/>
              </w:rPr>
              <w:t>5,777,000,000</w:t>
            </w:r>
            <w:r w:rsidRPr="0003131A">
              <w:rPr>
                <w:rFonts w:ascii="Arial Narrow" w:hAnsi="Arial Narrow" w:cs="Calibri"/>
                <w:sz w:val="24"/>
                <w:szCs w:val="24"/>
                <w:shd w:val="clear" w:color="auto" w:fill="FFFFFF"/>
                <w:lang w:val="es-CO"/>
              </w:rPr>
              <w:t xml:space="preserve"> </w:t>
            </w:r>
          </w:p>
        </w:tc>
      </w:tr>
      <w:tr w:rsidR="00437409" w:rsidRPr="002B3EE9" w14:paraId="0F1D5BD2" w14:textId="77777777" w:rsidTr="00F43F88">
        <w:trPr>
          <w:trHeight w:val="315"/>
          <w:jc w:val="center"/>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C555E0" w14:textId="77777777" w:rsidR="00437409" w:rsidRPr="008A2009" w:rsidRDefault="00437409" w:rsidP="00991E4A">
            <w:pPr>
              <w:ind w:right="50"/>
              <w:rPr>
                <w:rFonts w:ascii="Arial Narrow" w:hAnsi="Arial Narrow" w:cs="Calibri"/>
                <w:b/>
                <w:sz w:val="24"/>
                <w:szCs w:val="24"/>
                <w:shd w:val="clear" w:color="auto" w:fill="FFFFFF"/>
                <w:lang w:val="es-CO"/>
              </w:rPr>
            </w:pPr>
            <w:r w:rsidRPr="008A2009">
              <w:rPr>
                <w:rFonts w:ascii="Arial Narrow" w:hAnsi="Arial Narrow" w:cs="Calibri"/>
                <w:b/>
                <w:sz w:val="24"/>
                <w:szCs w:val="24"/>
                <w:shd w:val="clear" w:color="auto" w:fill="FFFFFF"/>
                <w:lang w:val="es-CO"/>
              </w:rPr>
              <w:t>Total</w:t>
            </w:r>
          </w:p>
        </w:tc>
        <w:tc>
          <w:tcPr>
            <w:tcW w:w="2268" w:type="dxa"/>
            <w:tcBorders>
              <w:top w:val="nil"/>
              <w:left w:val="nil"/>
              <w:bottom w:val="nil"/>
              <w:right w:val="single" w:sz="8" w:space="0" w:color="auto"/>
            </w:tcBorders>
            <w:shd w:val="clear" w:color="auto" w:fill="auto"/>
            <w:noWrap/>
            <w:vAlign w:val="bottom"/>
            <w:hideMark/>
          </w:tcPr>
          <w:p w14:paraId="597C42D9" w14:textId="77777777" w:rsidR="00437409" w:rsidRPr="0003131A" w:rsidRDefault="00437409" w:rsidP="00F43F88">
            <w:pPr>
              <w:ind w:right="50"/>
              <w:jc w:val="right"/>
              <w:rPr>
                <w:rFonts w:ascii="Arial Narrow" w:hAnsi="Arial Narrow" w:cs="Calibri"/>
                <w:sz w:val="24"/>
                <w:szCs w:val="24"/>
                <w:shd w:val="clear" w:color="auto" w:fill="FFFFFF"/>
                <w:lang w:val="es-CO"/>
              </w:rPr>
            </w:pPr>
            <w:r w:rsidRPr="0003131A">
              <w:rPr>
                <w:rFonts w:ascii="Arial Narrow" w:hAnsi="Arial Narrow" w:cs="Calibri"/>
                <w:sz w:val="24"/>
                <w:szCs w:val="24"/>
                <w:shd w:val="clear" w:color="auto" w:fill="FFFFFF"/>
                <w:lang w:val="es-CO"/>
              </w:rPr>
              <w:t>$</w:t>
            </w:r>
            <w:r w:rsidR="0003131A" w:rsidRPr="0003131A">
              <w:rPr>
                <w:rFonts w:ascii="Arial Narrow" w:hAnsi="Arial Narrow" w:cs="Calibri"/>
                <w:sz w:val="24"/>
                <w:szCs w:val="24"/>
                <w:shd w:val="clear" w:color="auto" w:fill="FFFFFF"/>
                <w:lang w:val="es-CO"/>
              </w:rPr>
              <w:t>52,303,000,000</w:t>
            </w:r>
          </w:p>
        </w:tc>
      </w:tr>
      <w:tr w:rsidR="00437409" w:rsidRPr="002B3EE9" w14:paraId="7A378753" w14:textId="77777777" w:rsidTr="00F43F88">
        <w:trPr>
          <w:trHeight w:val="315"/>
          <w:jc w:val="center"/>
        </w:trPr>
        <w:tc>
          <w:tcPr>
            <w:tcW w:w="5162"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74584AB9" w14:textId="092BDFF5" w:rsidR="00437409" w:rsidRPr="0003131A" w:rsidRDefault="00437409" w:rsidP="00FD0F56">
            <w:pPr>
              <w:ind w:right="50"/>
              <w:rPr>
                <w:rFonts w:ascii="Arial Narrow" w:hAnsi="Arial Narrow" w:cs="Calibri"/>
                <w:sz w:val="18"/>
                <w:szCs w:val="24"/>
                <w:shd w:val="clear" w:color="auto" w:fill="FFFFFF"/>
                <w:lang w:val="es-CO"/>
              </w:rPr>
            </w:pPr>
            <w:r w:rsidRPr="0003131A">
              <w:rPr>
                <w:rFonts w:ascii="Arial Narrow" w:hAnsi="Arial Narrow" w:cs="Calibri"/>
                <w:sz w:val="18"/>
                <w:szCs w:val="24"/>
                <w:shd w:val="clear" w:color="auto" w:fill="FFFFFF"/>
                <w:lang w:val="es-CO"/>
              </w:rPr>
              <w:t>Fuente: Presupuesto General de la Nac</w:t>
            </w:r>
            <w:r w:rsidR="0003131A" w:rsidRPr="0003131A">
              <w:rPr>
                <w:rFonts w:ascii="Arial Narrow" w:hAnsi="Arial Narrow" w:cs="Calibri"/>
                <w:sz w:val="18"/>
                <w:szCs w:val="24"/>
                <w:shd w:val="clear" w:color="auto" w:fill="FFFFFF"/>
                <w:lang w:val="es-CO"/>
              </w:rPr>
              <w:t>ión para la vigencia fiscal 2020</w:t>
            </w:r>
            <w:r w:rsidRPr="0003131A">
              <w:rPr>
                <w:rFonts w:ascii="Arial Narrow" w:hAnsi="Arial Narrow" w:cs="Calibri"/>
                <w:sz w:val="18"/>
                <w:szCs w:val="24"/>
                <w:shd w:val="clear" w:color="auto" w:fill="FFFFFF"/>
                <w:lang w:val="es-CO"/>
              </w:rPr>
              <w:t xml:space="preserve">. </w:t>
            </w:r>
            <w:r w:rsidR="00FD0F56">
              <w:rPr>
                <w:rFonts w:ascii="Arial Narrow" w:hAnsi="Arial Narrow" w:cs="Calibri"/>
                <w:sz w:val="18"/>
                <w:szCs w:val="24"/>
                <w:shd w:val="clear" w:color="auto" w:fill="FFFFFF"/>
                <w:lang w:val="es-CO"/>
              </w:rPr>
              <w:t xml:space="preserve">Ley 2008 del 27 de diciembre de 2019 y </w:t>
            </w:r>
            <w:r w:rsidR="0003131A" w:rsidRPr="0003131A">
              <w:rPr>
                <w:rFonts w:ascii="Arial Narrow" w:hAnsi="Arial Narrow" w:cs="Calibri"/>
                <w:sz w:val="18"/>
                <w:szCs w:val="24"/>
                <w:shd w:val="clear" w:color="auto" w:fill="FFFFFF"/>
                <w:lang w:val="es-CO"/>
              </w:rPr>
              <w:t>Decreto 2411 del 30 de diciembre de 2019</w:t>
            </w:r>
            <w:r w:rsidR="00FD0F56">
              <w:rPr>
                <w:rFonts w:ascii="Arial Narrow" w:hAnsi="Arial Narrow" w:cs="Calibri"/>
                <w:sz w:val="18"/>
                <w:szCs w:val="24"/>
                <w:shd w:val="clear" w:color="auto" w:fill="FFFFFF"/>
                <w:lang w:val="es-CO"/>
              </w:rPr>
              <w:t>.</w:t>
            </w:r>
          </w:p>
        </w:tc>
      </w:tr>
    </w:tbl>
    <w:p w14:paraId="3F4F7F8D" w14:textId="77777777" w:rsidR="0003131A" w:rsidRPr="002B3EE9" w:rsidRDefault="0003131A" w:rsidP="00437409">
      <w:pPr>
        <w:ind w:right="50"/>
        <w:rPr>
          <w:rFonts w:ascii="Arial Narrow" w:hAnsi="Arial Narrow" w:cs="Calibri"/>
          <w:sz w:val="24"/>
          <w:szCs w:val="24"/>
          <w:highlight w:val="yellow"/>
          <w:shd w:val="clear" w:color="auto" w:fill="FFFFFF"/>
        </w:rPr>
      </w:pPr>
    </w:p>
    <w:p w14:paraId="67DD1C90" w14:textId="18C769B5" w:rsidR="00437409" w:rsidRPr="0060070A" w:rsidRDefault="00437409" w:rsidP="00437409">
      <w:pPr>
        <w:ind w:right="50"/>
        <w:jc w:val="both"/>
        <w:rPr>
          <w:rFonts w:ascii="Arial Narrow" w:hAnsi="Arial Narrow" w:cs="Calibri"/>
          <w:sz w:val="24"/>
          <w:szCs w:val="24"/>
          <w:shd w:val="clear" w:color="auto" w:fill="FFFFFF"/>
          <w:lang w:val="es-ES"/>
        </w:rPr>
      </w:pPr>
      <w:r w:rsidRPr="0060070A">
        <w:rPr>
          <w:rFonts w:ascii="Arial Narrow" w:hAnsi="Arial Narrow" w:cs="Calibri"/>
          <w:sz w:val="24"/>
          <w:szCs w:val="24"/>
          <w:shd w:val="clear" w:color="auto" w:fill="FFFFFF"/>
        </w:rPr>
        <w:t>Q</w:t>
      </w:r>
      <w:r w:rsidR="00055ECD">
        <w:rPr>
          <w:rFonts w:ascii="Arial Narrow" w:hAnsi="Arial Narrow" w:cs="Calibri"/>
          <w:sz w:val="24"/>
          <w:szCs w:val="24"/>
          <w:shd w:val="clear" w:color="auto" w:fill="FFFFFF"/>
        </w:rPr>
        <w:t xml:space="preserve">ue </w:t>
      </w:r>
      <w:r w:rsidR="009A27C1" w:rsidRPr="0060070A">
        <w:rPr>
          <w:rFonts w:ascii="Arial Narrow" w:hAnsi="Arial Narrow" w:cs="Calibri"/>
          <w:sz w:val="24"/>
          <w:szCs w:val="24"/>
          <w:shd w:val="clear" w:color="auto" w:fill="FFFFFF"/>
        </w:rPr>
        <w:t>el cálculo de la Contribución Especial de Vigilan</w:t>
      </w:r>
      <w:r w:rsidR="009A27C1">
        <w:rPr>
          <w:rFonts w:ascii="Arial Narrow" w:hAnsi="Arial Narrow" w:cs="Calibri"/>
          <w:sz w:val="24"/>
          <w:szCs w:val="24"/>
          <w:shd w:val="clear" w:color="auto" w:fill="FFFFFF"/>
        </w:rPr>
        <w:t>cia para la vigencia fiscal 2020</w:t>
      </w:r>
      <w:r w:rsidR="009A27C1" w:rsidRPr="0060070A">
        <w:rPr>
          <w:rFonts w:ascii="Arial Narrow" w:hAnsi="Arial Narrow" w:cs="Calibri"/>
          <w:sz w:val="24"/>
          <w:szCs w:val="24"/>
          <w:shd w:val="clear" w:color="auto" w:fill="FFFFFF"/>
        </w:rPr>
        <w:t xml:space="preserve">, que dio como resultado </w:t>
      </w:r>
      <w:r w:rsidR="009A27C1" w:rsidRPr="0060070A">
        <w:rPr>
          <w:rFonts w:ascii="Arial Narrow" w:hAnsi="Arial Narrow" w:cs="Calibri"/>
          <w:sz w:val="24"/>
          <w:szCs w:val="24"/>
          <w:shd w:val="clear" w:color="auto" w:fill="FFFFFF"/>
          <w:lang w:val="es-ES"/>
        </w:rPr>
        <w:t>las tarifas diferenciadas para el cobro de la Contribución Especial teniendo en cuenta la clase de vigilancia ejercida por la Superintendencia</w:t>
      </w:r>
      <w:r w:rsidR="009A27C1">
        <w:rPr>
          <w:rFonts w:ascii="Arial Narrow" w:hAnsi="Arial Narrow" w:cs="Calibri"/>
          <w:sz w:val="24"/>
          <w:szCs w:val="24"/>
          <w:shd w:val="clear" w:color="auto" w:fill="FFFFFF"/>
          <w:lang w:val="es-ES"/>
        </w:rPr>
        <w:t xml:space="preserve">, se efectuó </w:t>
      </w:r>
      <w:r w:rsidR="00055ECD">
        <w:rPr>
          <w:rFonts w:ascii="Arial Narrow" w:hAnsi="Arial Narrow" w:cs="Calibri"/>
          <w:sz w:val="24"/>
          <w:szCs w:val="24"/>
          <w:shd w:val="clear" w:color="auto" w:fill="FFFFFF"/>
        </w:rPr>
        <w:t xml:space="preserve">con base en la metodología adoptada a través de la </w:t>
      </w:r>
      <w:r w:rsidR="009A27C1">
        <w:rPr>
          <w:rFonts w:ascii="Arial Narrow" w:hAnsi="Arial Narrow" w:cs="Calibri"/>
          <w:sz w:val="24"/>
          <w:szCs w:val="24"/>
          <w:shd w:val="clear" w:color="auto" w:fill="FFFFFF"/>
        </w:rPr>
        <w:t xml:space="preserve">precitada </w:t>
      </w:r>
      <w:r w:rsidR="00055ECD">
        <w:rPr>
          <w:rFonts w:ascii="Arial Narrow" w:hAnsi="Arial Narrow" w:cs="Calibri"/>
          <w:sz w:val="24"/>
          <w:szCs w:val="24"/>
          <w:shd w:val="clear" w:color="auto" w:fill="FFFFFF"/>
        </w:rPr>
        <w:t xml:space="preserve">Resolución </w:t>
      </w:r>
      <w:r w:rsidR="00055ECD" w:rsidRPr="00055ECD">
        <w:rPr>
          <w:rFonts w:ascii="Arial Narrow" w:hAnsi="Arial Narrow" w:cs="Calibri"/>
          <w:sz w:val="24"/>
          <w:szCs w:val="24"/>
          <w:shd w:val="clear" w:color="auto" w:fill="FFFFFF"/>
        </w:rPr>
        <w:t>36699 del 1 de agosto de 2016, actualizada por las Resoluciones número 13004 del 19 de abril de 2017 y 6253 del 26 de marzo de 2020</w:t>
      </w:r>
      <w:r w:rsidR="00073929">
        <w:rPr>
          <w:rFonts w:ascii="Arial Narrow" w:hAnsi="Arial Narrow" w:cs="Calibri"/>
          <w:sz w:val="24"/>
          <w:szCs w:val="24"/>
          <w:shd w:val="clear" w:color="auto" w:fill="FFFFFF"/>
        </w:rPr>
        <w:t>.</w:t>
      </w:r>
    </w:p>
    <w:p w14:paraId="289DA013" w14:textId="77777777" w:rsidR="00437409" w:rsidRPr="002B3EE9" w:rsidRDefault="00437409" w:rsidP="00437409">
      <w:pPr>
        <w:ind w:right="50"/>
        <w:rPr>
          <w:rFonts w:ascii="Arial Narrow" w:hAnsi="Arial Narrow" w:cs="Calibri"/>
          <w:sz w:val="24"/>
          <w:szCs w:val="24"/>
          <w:highlight w:val="yellow"/>
          <w:shd w:val="clear" w:color="auto" w:fill="FFFFFF"/>
          <w:lang w:val="es-ES"/>
        </w:rPr>
      </w:pPr>
    </w:p>
    <w:p w14:paraId="4212B1A0" w14:textId="3EC5AD97" w:rsidR="00437409" w:rsidRPr="0060070A" w:rsidRDefault="00437409" w:rsidP="00437409">
      <w:pPr>
        <w:ind w:right="50"/>
        <w:jc w:val="both"/>
        <w:rPr>
          <w:rFonts w:ascii="Arial Narrow" w:hAnsi="Arial Narrow" w:cs="Calibri"/>
          <w:sz w:val="24"/>
          <w:szCs w:val="24"/>
          <w:shd w:val="clear" w:color="auto" w:fill="FFFFFF"/>
        </w:rPr>
      </w:pPr>
      <w:proofErr w:type="gramStart"/>
      <w:r w:rsidRPr="0060070A">
        <w:rPr>
          <w:rFonts w:ascii="Arial Narrow" w:hAnsi="Arial Narrow" w:cs="Calibri"/>
          <w:sz w:val="24"/>
          <w:szCs w:val="24"/>
          <w:shd w:val="clear" w:color="auto" w:fill="FFFFFF"/>
        </w:rPr>
        <w:t>Que</w:t>
      </w:r>
      <w:proofErr w:type="gramEnd"/>
      <w:r w:rsidRPr="0060070A">
        <w:rPr>
          <w:rFonts w:ascii="Arial Narrow" w:hAnsi="Arial Narrow" w:cs="Calibri"/>
          <w:sz w:val="24"/>
          <w:szCs w:val="24"/>
          <w:shd w:val="clear" w:color="auto" w:fill="FFFFFF"/>
        </w:rPr>
        <w:t xml:space="preserve"> de conformidad con la guía metodológica para el cálculo de la Contribución Especial de Vigilancia, se definió el parámetro “</w:t>
      </w:r>
      <w:proofErr w:type="spellStart"/>
      <w:r w:rsidRPr="0060070A">
        <w:rPr>
          <w:rFonts w:ascii="Arial Narrow" w:hAnsi="Arial Narrow" w:cs="Calibri"/>
          <w:i/>
          <w:sz w:val="24"/>
          <w:szCs w:val="24"/>
          <w:shd w:val="clear" w:color="auto" w:fill="FFFFFF"/>
        </w:rPr>
        <w:t>Alpha</w:t>
      </w:r>
      <w:proofErr w:type="spellEnd"/>
      <w:r w:rsidRPr="0060070A">
        <w:rPr>
          <w:rFonts w:ascii="Arial Narrow" w:hAnsi="Arial Narrow" w:cs="Calibri"/>
          <w:sz w:val="24"/>
          <w:szCs w:val="24"/>
          <w:shd w:val="clear" w:color="auto" w:fill="FFFFFF"/>
        </w:rPr>
        <w:t xml:space="preserve">”, que corresponde al peso de la vigilancia subjetiva dentro de la vigilancia </w:t>
      </w:r>
      <w:r w:rsidRPr="00055ECD">
        <w:rPr>
          <w:rFonts w:ascii="Arial Narrow" w:hAnsi="Arial Narrow" w:cs="Calibri"/>
          <w:sz w:val="24"/>
          <w:szCs w:val="24"/>
          <w:shd w:val="clear" w:color="auto" w:fill="FFFFFF"/>
        </w:rPr>
        <w:t>integral, en 0.</w:t>
      </w:r>
      <w:r w:rsidR="00055ECD" w:rsidRPr="00055ECD">
        <w:rPr>
          <w:rFonts w:ascii="Arial Narrow" w:hAnsi="Arial Narrow" w:cs="Calibri"/>
          <w:sz w:val="24"/>
          <w:szCs w:val="24"/>
          <w:shd w:val="clear" w:color="auto" w:fill="FFFFFF"/>
        </w:rPr>
        <w:t>42</w:t>
      </w:r>
      <w:r w:rsidRPr="00055ECD">
        <w:rPr>
          <w:rFonts w:ascii="Arial Narrow" w:hAnsi="Arial Narrow" w:cs="Calibri"/>
          <w:sz w:val="24"/>
          <w:szCs w:val="24"/>
          <w:shd w:val="clear" w:color="auto" w:fill="FFFFFF"/>
        </w:rPr>
        <w:t>, obtenido mediante la siguiente información:</w:t>
      </w:r>
    </w:p>
    <w:p w14:paraId="62350DDB" w14:textId="77777777" w:rsidR="00437409" w:rsidRPr="002B3EE9" w:rsidRDefault="00437409" w:rsidP="00437409">
      <w:pPr>
        <w:ind w:right="50"/>
        <w:rPr>
          <w:rFonts w:ascii="Arial Narrow" w:hAnsi="Arial Narrow" w:cs="Calibri"/>
          <w:sz w:val="24"/>
          <w:szCs w:val="24"/>
          <w:highlight w:val="yellow"/>
          <w:shd w:val="clear" w:color="auto" w:fill="FFFFFF"/>
        </w:rPr>
      </w:pPr>
    </w:p>
    <w:p w14:paraId="28617662" w14:textId="77777777" w:rsidR="00437409" w:rsidRPr="000A7CDB" w:rsidRDefault="00437409" w:rsidP="00437409">
      <w:pPr>
        <w:numPr>
          <w:ilvl w:val="0"/>
          <w:numId w:val="4"/>
        </w:numPr>
        <w:ind w:right="50"/>
        <w:jc w:val="both"/>
        <w:rPr>
          <w:rFonts w:ascii="Arial Narrow" w:hAnsi="Arial Narrow" w:cs="Calibri"/>
          <w:sz w:val="24"/>
          <w:szCs w:val="24"/>
          <w:shd w:val="clear" w:color="auto" w:fill="FFFFFF"/>
        </w:rPr>
      </w:pPr>
      <w:r w:rsidRPr="000A7CDB">
        <w:rPr>
          <w:rFonts w:ascii="Arial Narrow" w:hAnsi="Arial Narrow" w:cs="Calibri"/>
          <w:sz w:val="24"/>
          <w:szCs w:val="24"/>
          <w:shd w:val="clear" w:color="auto" w:fill="FFFFFF"/>
        </w:rPr>
        <w:t xml:space="preserve">Distribución de personal por </w:t>
      </w:r>
      <w:proofErr w:type="spellStart"/>
      <w:r w:rsidRPr="000A7CDB">
        <w:rPr>
          <w:rFonts w:ascii="Arial Narrow" w:hAnsi="Arial Narrow" w:cs="Calibri"/>
          <w:sz w:val="24"/>
          <w:szCs w:val="24"/>
          <w:shd w:val="clear" w:color="auto" w:fill="FFFFFF"/>
        </w:rPr>
        <w:t>Delegatura</w:t>
      </w:r>
      <w:proofErr w:type="spellEnd"/>
      <w:r w:rsidRPr="000A7CDB">
        <w:rPr>
          <w:rFonts w:ascii="Arial Narrow" w:hAnsi="Arial Narrow" w:cs="Calibri"/>
          <w:sz w:val="24"/>
          <w:szCs w:val="24"/>
          <w:shd w:val="clear" w:color="auto" w:fill="FFFFFF"/>
        </w:rPr>
        <w:t xml:space="preserve">: La distribución del personal de la Superintendencia por </w:t>
      </w:r>
      <w:proofErr w:type="spellStart"/>
      <w:r w:rsidRPr="000A7CDB">
        <w:rPr>
          <w:rFonts w:ascii="Arial Narrow" w:hAnsi="Arial Narrow" w:cs="Calibri"/>
          <w:sz w:val="24"/>
          <w:szCs w:val="24"/>
          <w:shd w:val="clear" w:color="auto" w:fill="FFFFFF"/>
        </w:rPr>
        <w:t>Delegatura</w:t>
      </w:r>
      <w:proofErr w:type="spellEnd"/>
      <w:r w:rsidRPr="000A7CDB">
        <w:rPr>
          <w:rFonts w:ascii="Arial Narrow" w:hAnsi="Arial Narrow" w:cs="Calibri"/>
          <w:sz w:val="24"/>
          <w:szCs w:val="24"/>
          <w:shd w:val="clear" w:color="auto" w:fill="FFFFFF"/>
        </w:rPr>
        <w:t>, está dada</w:t>
      </w:r>
      <w:r w:rsidR="00D67910">
        <w:rPr>
          <w:rFonts w:ascii="Arial Narrow" w:hAnsi="Arial Narrow" w:cs="Calibri"/>
          <w:sz w:val="24"/>
          <w:szCs w:val="24"/>
          <w:shd w:val="clear" w:color="auto" w:fill="FFFFFF"/>
        </w:rPr>
        <w:t xml:space="preserve"> por el promedio mensual </w:t>
      </w:r>
      <w:r w:rsidR="0060070A" w:rsidRPr="000A7CDB">
        <w:rPr>
          <w:rFonts w:ascii="Arial Narrow" w:hAnsi="Arial Narrow" w:cs="Calibri"/>
          <w:sz w:val="24"/>
          <w:szCs w:val="24"/>
          <w:shd w:val="clear" w:color="auto" w:fill="FFFFFF"/>
        </w:rPr>
        <w:t>del año 2019</w:t>
      </w:r>
      <w:r w:rsidR="00D67910">
        <w:rPr>
          <w:rFonts w:ascii="Arial Narrow" w:hAnsi="Arial Narrow" w:cs="Calibri"/>
          <w:sz w:val="24"/>
          <w:szCs w:val="24"/>
          <w:shd w:val="clear" w:color="auto" w:fill="FFFFFF"/>
        </w:rPr>
        <w:t>,</w:t>
      </w:r>
      <w:r w:rsidRPr="000A7CDB">
        <w:rPr>
          <w:rFonts w:ascii="Arial Narrow" w:hAnsi="Arial Narrow" w:cs="Calibri"/>
          <w:sz w:val="24"/>
          <w:szCs w:val="24"/>
          <w:shd w:val="clear" w:color="auto" w:fill="FFFFFF"/>
        </w:rPr>
        <w:t xml:space="preserve"> de la siguiente manera:</w:t>
      </w:r>
    </w:p>
    <w:p w14:paraId="3E074FB0" w14:textId="77777777" w:rsidR="00437409" w:rsidRPr="002B3EE9" w:rsidRDefault="00437409" w:rsidP="00437409">
      <w:pPr>
        <w:ind w:right="50"/>
        <w:rPr>
          <w:rFonts w:asciiTheme="minorHAnsi" w:eastAsiaTheme="minorHAnsi" w:hAnsiTheme="minorHAnsi" w:cstheme="minorBidi"/>
          <w:sz w:val="22"/>
          <w:szCs w:val="22"/>
          <w:highlight w:val="yellow"/>
          <w:lang w:val="es-CO" w:eastAsia="en-US"/>
        </w:rPr>
      </w:pPr>
      <w:r w:rsidRPr="002B3EE9">
        <w:rPr>
          <w:rFonts w:ascii="Arial Narrow" w:hAnsi="Arial Narrow" w:cs="Calibri"/>
          <w:sz w:val="24"/>
          <w:szCs w:val="24"/>
          <w:highlight w:val="yellow"/>
          <w:shd w:val="clear" w:color="auto" w:fill="FFFFFF"/>
        </w:rPr>
        <w:fldChar w:fldCharType="begin"/>
      </w:r>
      <w:r w:rsidRPr="002B3EE9">
        <w:rPr>
          <w:rFonts w:ascii="Arial Narrow" w:hAnsi="Arial Narrow" w:cs="Calibri"/>
          <w:sz w:val="24"/>
          <w:szCs w:val="24"/>
          <w:highlight w:val="yellow"/>
          <w:shd w:val="clear" w:color="auto" w:fill="FFFFFF"/>
        </w:rPr>
        <w:instrText xml:space="preserve"> LINK Excel.Sheet.12 "Libro1" "Hoja1!F4C3:F11C9" \a \f 4 \h  \* MERGEFORMAT </w:instrText>
      </w:r>
      <w:r w:rsidRPr="002B3EE9">
        <w:rPr>
          <w:rFonts w:ascii="Arial Narrow" w:hAnsi="Arial Narrow" w:cs="Calibri"/>
          <w:sz w:val="24"/>
          <w:szCs w:val="24"/>
          <w:highlight w:val="yellow"/>
          <w:shd w:val="clear" w:color="auto" w:fill="FFFFFF"/>
        </w:rPr>
        <w:fldChar w:fldCharType="separate"/>
      </w:r>
    </w:p>
    <w:tbl>
      <w:tblPr>
        <w:tblW w:w="9334" w:type="dxa"/>
        <w:tblInd w:w="212" w:type="dxa"/>
        <w:tblCellMar>
          <w:left w:w="70" w:type="dxa"/>
          <w:right w:w="70" w:type="dxa"/>
        </w:tblCellMar>
        <w:tblLook w:val="04A0" w:firstRow="1" w:lastRow="0" w:firstColumn="1" w:lastColumn="0" w:noHBand="0" w:noVBand="1"/>
      </w:tblPr>
      <w:tblGrid>
        <w:gridCol w:w="1417"/>
        <w:gridCol w:w="955"/>
        <w:gridCol w:w="1415"/>
        <w:gridCol w:w="1304"/>
        <w:gridCol w:w="1415"/>
        <w:gridCol w:w="1555"/>
        <w:gridCol w:w="1273"/>
      </w:tblGrid>
      <w:tr w:rsidR="000923A1" w:rsidRPr="00A90479" w14:paraId="6D92FA6E" w14:textId="77777777" w:rsidTr="001805AE">
        <w:trPr>
          <w:trHeight w:val="345"/>
        </w:trPr>
        <w:tc>
          <w:tcPr>
            <w:tcW w:w="933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484BDC" w14:textId="77777777" w:rsidR="000923A1" w:rsidRPr="00A90479" w:rsidRDefault="000923A1" w:rsidP="001805AE">
            <w:pPr>
              <w:jc w:val="center"/>
              <w:rPr>
                <w:rFonts w:ascii="Arial Narrow" w:hAnsi="Arial Narrow" w:cs="Calibri"/>
                <w:b/>
                <w:color w:val="000000"/>
                <w:sz w:val="22"/>
                <w:szCs w:val="22"/>
                <w:lang w:val="es-CO" w:eastAsia="es-CO"/>
              </w:rPr>
            </w:pPr>
            <w:r w:rsidRPr="00A90479">
              <w:rPr>
                <w:rFonts w:ascii="Arial Narrow" w:hAnsi="Arial Narrow" w:cs="Calibri"/>
                <w:b/>
                <w:color w:val="000000"/>
                <w:sz w:val="22"/>
                <w:szCs w:val="22"/>
                <w:lang w:val="es-ES" w:eastAsia="es-CO"/>
              </w:rPr>
              <w:t xml:space="preserve">Distribución de personal por </w:t>
            </w:r>
            <w:proofErr w:type="spellStart"/>
            <w:r w:rsidRPr="00A90479">
              <w:rPr>
                <w:rFonts w:ascii="Arial Narrow" w:hAnsi="Arial Narrow" w:cs="Calibri"/>
                <w:b/>
                <w:color w:val="000000"/>
                <w:sz w:val="22"/>
                <w:szCs w:val="22"/>
                <w:lang w:val="es-ES" w:eastAsia="es-CO"/>
              </w:rPr>
              <w:t>Delegatura</w:t>
            </w:r>
            <w:proofErr w:type="spellEnd"/>
            <w:r w:rsidRPr="00A90479">
              <w:rPr>
                <w:rFonts w:ascii="Arial Narrow" w:hAnsi="Arial Narrow" w:cs="Calibri"/>
                <w:b/>
                <w:color w:val="000000"/>
                <w:sz w:val="22"/>
                <w:szCs w:val="22"/>
                <w:lang w:val="es-ES" w:eastAsia="es-CO"/>
              </w:rPr>
              <w:t xml:space="preserve"> 2019</w:t>
            </w:r>
          </w:p>
        </w:tc>
      </w:tr>
      <w:tr w:rsidR="000923A1" w:rsidRPr="00A90479" w14:paraId="05A0A784" w14:textId="77777777" w:rsidTr="001805AE">
        <w:trPr>
          <w:trHeight w:val="825"/>
        </w:trPr>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9E410D" w14:textId="77777777" w:rsidR="000923A1" w:rsidRPr="00A90479" w:rsidRDefault="000923A1" w:rsidP="001805AE">
            <w:pPr>
              <w:jc w:val="center"/>
              <w:rPr>
                <w:rFonts w:ascii="Arial Narrow" w:hAnsi="Arial Narrow" w:cs="Calibri"/>
                <w:b/>
                <w:color w:val="000000"/>
                <w:sz w:val="22"/>
                <w:szCs w:val="22"/>
                <w:lang w:val="es-CO" w:eastAsia="es-CO"/>
              </w:rPr>
            </w:pPr>
            <w:r w:rsidRPr="00A90479">
              <w:rPr>
                <w:rFonts w:ascii="Arial Narrow" w:hAnsi="Arial Narrow" w:cs="Calibri"/>
                <w:b/>
                <w:color w:val="000000"/>
                <w:sz w:val="22"/>
                <w:szCs w:val="22"/>
                <w:lang w:val="es-ES" w:eastAsia="es-CO"/>
              </w:rPr>
              <w:t>Concepto</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14:paraId="6432698F" w14:textId="77777777" w:rsidR="000923A1" w:rsidRPr="00A90479" w:rsidRDefault="000923A1" w:rsidP="001805AE">
            <w:pPr>
              <w:jc w:val="center"/>
              <w:rPr>
                <w:rFonts w:ascii="Arial Narrow" w:hAnsi="Arial Narrow" w:cs="Calibri"/>
                <w:b/>
                <w:color w:val="000000"/>
                <w:sz w:val="22"/>
                <w:szCs w:val="22"/>
                <w:lang w:val="es-CO" w:eastAsia="es-CO"/>
              </w:rPr>
            </w:pPr>
            <w:r w:rsidRPr="00A90479">
              <w:rPr>
                <w:rFonts w:ascii="Arial Narrow" w:hAnsi="Arial Narrow" w:cs="Calibri"/>
                <w:b/>
                <w:color w:val="000000"/>
                <w:sz w:val="22"/>
                <w:szCs w:val="22"/>
                <w:lang w:val="es-ES" w:eastAsia="es-CO"/>
              </w:rPr>
              <w:t>Cantidad</w:t>
            </w:r>
          </w:p>
        </w:tc>
        <w:tc>
          <w:tcPr>
            <w:tcW w:w="1415" w:type="dxa"/>
            <w:vMerge w:val="restart"/>
            <w:tcBorders>
              <w:top w:val="nil"/>
              <w:left w:val="single" w:sz="8" w:space="0" w:color="auto"/>
              <w:bottom w:val="single" w:sz="8" w:space="0" w:color="000000"/>
              <w:right w:val="single" w:sz="8" w:space="0" w:color="auto"/>
            </w:tcBorders>
            <w:shd w:val="clear" w:color="auto" w:fill="auto"/>
            <w:vAlign w:val="center"/>
            <w:hideMark/>
          </w:tcPr>
          <w:p w14:paraId="7D088AFB" w14:textId="77777777" w:rsidR="000923A1" w:rsidRPr="00A90479" w:rsidRDefault="000923A1" w:rsidP="001805AE">
            <w:pPr>
              <w:jc w:val="center"/>
              <w:rPr>
                <w:rFonts w:ascii="Arial Narrow" w:hAnsi="Arial Narrow" w:cs="Calibri"/>
                <w:b/>
                <w:color w:val="000000"/>
                <w:sz w:val="22"/>
                <w:szCs w:val="22"/>
                <w:lang w:val="es-CO" w:eastAsia="es-CO"/>
              </w:rPr>
            </w:pPr>
            <w:r w:rsidRPr="00A90479">
              <w:rPr>
                <w:rFonts w:ascii="Arial Narrow" w:hAnsi="Arial Narrow" w:cs="Calibri"/>
                <w:b/>
                <w:color w:val="000000"/>
                <w:sz w:val="22"/>
                <w:szCs w:val="22"/>
                <w:lang w:val="es-ES" w:eastAsia="es-CO"/>
              </w:rPr>
              <w:t>Valor áreas misionales</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14:paraId="4BC8BEF0" w14:textId="77777777" w:rsidR="000923A1" w:rsidRPr="00A90479" w:rsidRDefault="000923A1" w:rsidP="001805AE">
            <w:pPr>
              <w:jc w:val="center"/>
              <w:rPr>
                <w:rFonts w:ascii="Arial Narrow" w:hAnsi="Arial Narrow" w:cs="Calibri"/>
                <w:b/>
                <w:color w:val="000000"/>
                <w:sz w:val="22"/>
                <w:szCs w:val="22"/>
                <w:lang w:val="es-CO" w:eastAsia="es-CO"/>
              </w:rPr>
            </w:pPr>
            <w:r w:rsidRPr="00A90479">
              <w:rPr>
                <w:rFonts w:ascii="Arial Narrow" w:hAnsi="Arial Narrow" w:cs="Calibri"/>
                <w:b/>
                <w:color w:val="000000"/>
                <w:sz w:val="22"/>
                <w:szCs w:val="22"/>
                <w:lang w:val="es-ES" w:eastAsia="es-CO"/>
              </w:rPr>
              <w:t>Participación áreas transversales</w:t>
            </w:r>
          </w:p>
        </w:tc>
        <w:tc>
          <w:tcPr>
            <w:tcW w:w="1415" w:type="dxa"/>
            <w:vMerge w:val="restart"/>
            <w:tcBorders>
              <w:top w:val="nil"/>
              <w:left w:val="single" w:sz="8" w:space="0" w:color="auto"/>
              <w:bottom w:val="single" w:sz="8" w:space="0" w:color="000000"/>
              <w:right w:val="single" w:sz="8" w:space="0" w:color="auto"/>
            </w:tcBorders>
            <w:shd w:val="clear" w:color="auto" w:fill="auto"/>
            <w:vAlign w:val="center"/>
            <w:hideMark/>
          </w:tcPr>
          <w:p w14:paraId="6F51CB7C" w14:textId="77777777" w:rsidR="000923A1" w:rsidRPr="00A90479" w:rsidRDefault="000923A1" w:rsidP="001805AE">
            <w:pPr>
              <w:jc w:val="center"/>
              <w:rPr>
                <w:rFonts w:ascii="Arial Narrow" w:hAnsi="Arial Narrow" w:cs="Calibri"/>
                <w:b/>
                <w:color w:val="000000"/>
                <w:sz w:val="22"/>
                <w:szCs w:val="22"/>
                <w:lang w:val="es-CO" w:eastAsia="es-CO"/>
              </w:rPr>
            </w:pPr>
            <w:r w:rsidRPr="00A90479">
              <w:rPr>
                <w:rFonts w:ascii="Arial Narrow" w:hAnsi="Arial Narrow" w:cs="Calibri"/>
                <w:b/>
                <w:color w:val="000000"/>
                <w:sz w:val="22"/>
                <w:szCs w:val="22"/>
                <w:lang w:val="es-ES" w:eastAsia="es-CO"/>
              </w:rPr>
              <w:t>Valor áreas transversales</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2FF84D22" w14:textId="77777777" w:rsidR="000923A1" w:rsidRPr="00A90479" w:rsidRDefault="000923A1" w:rsidP="001805AE">
            <w:pPr>
              <w:jc w:val="center"/>
              <w:rPr>
                <w:rFonts w:ascii="Arial Narrow" w:hAnsi="Arial Narrow" w:cs="Calibri"/>
                <w:b/>
                <w:color w:val="000000"/>
                <w:sz w:val="22"/>
                <w:szCs w:val="22"/>
                <w:lang w:val="es-CO" w:eastAsia="es-CO"/>
              </w:rPr>
            </w:pPr>
            <w:r w:rsidRPr="00A90479">
              <w:rPr>
                <w:rFonts w:ascii="Arial Narrow" w:hAnsi="Arial Narrow" w:cs="Calibri"/>
                <w:b/>
                <w:color w:val="000000"/>
                <w:sz w:val="22"/>
                <w:szCs w:val="22"/>
                <w:lang w:val="es-ES" w:eastAsia="es-CO"/>
              </w:rPr>
              <w:t>Valor total</w:t>
            </w:r>
          </w:p>
        </w:tc>
        <w:tc>
          <w:tcPr>
            <w:tcW w:w="1273" w:type="dxa"/>
            <w:vMerge w:val="restart"/>
            <w:tcBorders>
              <w:top w:val="nil"/>
              <w:left w:val="single" w:sz="8" w:space="0" w:color="auto"/>
              <w:bottom w:val="single" w:sz="8" w:space="0" w:color="000000"/>
              <w:right w:val="single" w:sz="8" w:space="0" w:color="auto"/>
            </w:tcBorders>
            <w:shd w:val="clear" w:color="auto" w:fill="auto"/>
            <w:vAlign w:val="center"/>
            <w:hideMark/>
          </w:tcPr>
          <w:p w14:paraId="63B3D935" w14:textId="77777777" w:rsidR="000923A1" w:rsidRPr="00A90479" w:rsidRDefault="000923A1" w:rsidP="001805AE">
            <w:pPr>
              <w:jc w:val="center"/>
              <w:rPr>
                <w:rFonts w:ascii="Arial Narrow" w:hAnsi="Arial Narrow" w:cs="Calibri"/>
                <w:b/>
                <w:color w:val="000000"/>
                <w:sz w:val="22"/>
                <w:szCs w:val="22"/>
                <w:lang w:val="es-CO" w:eastAsia="es-CO"/>
              </w:rPr>
            </w:pPr>
            <w:r w:rsidRPr="00A90479">
              <w:rPr>
                <w:rFonts w:ascii="Arial Narrow" w:hAnsi="Arial Narrow" w:cs="Calibri"/>
                <w:b/>
                <w:color w:val="000000"/>
                <w:sz w:val="22"/>
                <w:szCs w:val="22"/>
                <w:lang w:val="es-ES" w:eastAsia="es-CO"/>
              </w:rPr>
              <w:t>Participación total</w:t>
            </w:r>
          </w:p>
        </w:tc>
      </w:tr>
      <w:tr w:rsidR="000923A1" w:rsidRPr="00A90479" w14:paraId="7B689180" w14:textId="77777777" w:rsidTr="001805AE">
        <w:trPr>
          <w:trHeight w:val="464"/>
        </w:trPr>
        <w:tc>
          <w:tcPr>
            <w:tcW w:w="1417" w:type="dxa"/>
            <w:vMerge/>
            <w:tcBorders>
              <w:top w:val="nil"/>
              <w:left w:val="single" w:sz="8" w:space="0" w:color="auto"/>
              <w:bottom w:val="single" w:sz="8" w:space="0" w:color="000000"/>
              <w:right w:val="single" w:sz="8" w:space="0" w:color="auto"/>
            </w:tcBorders>
            <w:vAlign w:val="center"/>
            <w:hideMark/>
          </w:tcPr>
          <w:p w14:paraId="7F471D95" w14:textId="77777777" w:rsidR="000923A1" w:rsidRPr="00A90479" w:rsidRDefault="000923A1" w:rsidP="001805AE">
            <w:pPr>
              <w:jc w:val="center"/>
              <w:rPr>
                <w:rFonts w:ascii="Arial Narrow" w:hAnsi="Arial Narrow" w:cs="Calibri"/>
                <w:color w:val="000000"/>
                <w:sz w:val="22"/>
                <w:szCs w:val="22"/>
                <w:lang w:val="es-CO" w:eastAsia="es-CO"/>
              </w:rPr>
            </w:pPr>
          </w:p>
        </w:tc>
        <w:tc>
          <w:tcPr>
            <w:tcW w:w="955" w:type="dxa"/>
            <w:vMerge/>
            <w:tcBorders>
              <w:top w:val="nil"/>
              <w:left w:val="single" w:sz="8" w:space="0" w:color="auto"/>
              <w:bottom w:val="single" w:sz="8" w:space="0" w:color="000000"/>
              <w:right w:val="single" w:sz="8" w:space="0" w:color="auto"/>
            </w:tcBorders>
            <w:vAlign w:val="center"/>
            <w:hideMark/>
          </w:tcPr>
          <w:p w14:paraId="6646EAE4" w14:textId="77777777" w:rsidR="000923A1" w:rsidRPr="00A90479" w:rsidRDefault="000923A1" w:rsidP="001805AE">
            <w:pPr>
              <w:jc w:val="center"/>
              <w:rPr>
                <w:rFonts w:ascii="Arial Narrow" w:hAnsi="Arial Narrow" w:cs="Calibri"/>
                <w:color w:val="000000"/>
                <w:sz w:val="22"/>
                <w:szCs w:val="22"/>
                <w:lang w:val="es-CO" w:eastAsia="es-CO"/>
              </w:rPr>
            </w:pPr>
          </w:p>
        </w:tc>
        <w:tc>
          <w:tcPr>
            <w:tcW w:w="1415" w:type="dxa"/>
            <w:vMerge/>
            <w:tcBorders>
              <w:top w:val="nil"/>
              <w:left w:val="single" w:sz="8" w:space="0" w:color="auto"/>
              <w:bottom w:val="single" w:sz="8" w:space="0" w:color="000000"/>
              <w:right w:val="single" w:sz="8" w:space="0" w:color="auto"/>
            </w:tcBorders>
            <w:vAlign w:val="center"/>
            <w:hideMark/>
          </w:tcPr>
          <w:p w14:paraId="49AE2024" w14:textId="77777777" w:rsidR="000923A1" w:rsidRPr="00A90479" w:rsidRDefault="000923A1" w:rsidP="001805AE">
            <w:pPr>
              <w:jc w:val="center"/>
              <w:rPr>
                <w:rFonts w:ascii="Arial Narrow" w:hAnsi="Arial Narrow" w:cs="Calibri"/>
                <w:color w:val="000000"/>
                <w:sz w:val="22"/>
                <w:szCs w:val="22"/>
                <w:lang w:val="es-CO" w:eastAsia="es-CO"/>
              </w:rPr>
            </w:pPr>
          </w:p>
        </w:tc>
        <w:tc>
          <w:tcPr>
            <w:tcW w:w="1304" w:type="dxa"/>
            <w:vMerge/>
            <w:tcBorders>
              <w:top w:val="nil"/>
              <w:left w:val="single" w:sz="8" w:space="0" w:color="auto"/>
              <w:bottom w:val="single" w:sz="8" w:space="0" w:color="000000"/>
              <w:right w:val="single" w:sz="8" w:space="0" w:color="auto"/>
            </w:tcBorders>
            <w:vAlign w:val="center"/>
            <w:hideMark/>
          </w:tcPr>
          <w:p w14:paraId="3813F3D3" w14:textId="77777777" w:rsidR="000923A1" w:rsidRPr="00A90479" w:rsidRDefault="000923A1" w:rsidP="001805AE">
            <w:pPr>
              <w:jc w:val="center"/>
              <w:rPr>
                <w:rFonts w:ascii="Arial Narrow" w:hAnsi="Arial Narrow" w:cs="Calibri"/>
                <w:color w:val="000000"/>
                <w:sz w:val="22"/>
                <w:szCs w:val="22"/>
                <w:lang w:val="es-CO" w:eastAsia="es-CO"/>
              </w:rPr>
            </w:pPr>
          </w:p>
        </w:tc>
        <w:tc>
          <w:tcPr>
            <w:tcW w:w="1415" w:type="dxa"/>
            <w:vMerge/>
            <w:tcBorders>
              <w:top w:val="nil"/>
              <w:left w:val="single" w:sz="8" w:space="0" w:color="auto"/>
              <w:bottom w:val="single" w:sz="8" w:space="0" w:color="000000"/>
              <w:right w:val="single" w:sz="8" w:space="0" w:color="auto"/>
            </w:tcBorders>
            <w:vAlign w:val="center"/>
            <w:hideMark/>
          </w:tcPr>
          <w:p w14:paraId="707DAAF5" w14:textId="77777777" w:rsidR="000923A1" w:rsidRPr="00A90479" w:rsidRDefault="000923A1" w:rsidP="001805AE">
            <w:pPr>
              <w:jc w:val="center"/>
              <w:rPr>
                <w:rFonts w:ascii="Arial Narrow" w:hAnsi="Arial Narrow" w:cs="Calibri"/>
                <w:color w:val="000000"/>
                <w:sz w:val="22"/>
                <w:szCs w:val="22"/>
                <w:lang w:val="es-CO" w:eastAsia="es-CO"/>
              </w:rPr>
            </w:pPr>
          </w:p>
        </w:tc>
        <w:tc>
          <w:tcPr>
            <w:tcW w:w="1555" w:type="dxa"/>
            <w:vMerge/>
            <w:tcBorders>
              <w:top w:val="nil"/>
              <w:left w:val="single" w:sz="8" w:space="0" w:color="auto"/>
              <w:bottom w:val="single" w:sz="8" w:space="0" w:color="000000"/>
              <w:right w:val="single" w:sz="8" w:space="0" w:color="auto"/>
            </w:tcBorders>
            <w:vAlign w:val="center"/>
            <w:hideMark/>
          </w:tcPr>
          <w:p w14:paraId="201479E2" w14:textId="77777777" w:rsidR="000923A1" w:rsidRPr="00A90479" w:rsidRDefault="000923A1" w:rsidP="001805AE">
            <w:pPr>
              <w:jc w:val="center"/>
              <w:rPr>
                <w:rFonts w:ascii="Arial Narrow" w:hAnsi="Arial Narrow" w:cs="Calibri"/>
                <w:color w:val="000000"/>
                <w:sz w:val="22"/>
                <w:szCs w:val="22"/>
                <w:lang w:val="es-CO" w:eastAsia="es-CO"/>
              </w:rPr>
            </w:pPr>
          </w:p>
        </w:tc>
        <w:tc>
          <w:tcPr>
            <w:tcW w:w="1273" w:type="dxa"/>
            <w:vMerge/>
            <w:tcBorders>
              <w:top w:val="nil"/>
              <w:left w:val="single" w:sz="8" w:space="0" w:color="auto"/>
              <w:bottom w:val="single" w:sz="8" w:space="0" w:color="000000"/>
              <w:right w:val="single" w:sz="8" w:space="0" w:color="auto"/>
            </w:tcBorders>
            <w:vAlign w:val="center"/>
            <w:hideMark/>
          </w:tcPr>
          <w:p w14:paraId="4C9496C3" w14:textId="77777777" w:rsidR="000923A1" w:rsidRPr="00A90479" w:rsidRDefault="000923A1" w:rsidP="001805AE">
            <w:pPr>
              <w:jc w:val="center"/>
              <w:rPr>
                <w:rFonts w:ascii="Arial Narrow" w:hAnsi="Arial Narrow" w:cs="Calibri"/>
                <w:color w:val="000000"/>
                <w:sz w:val="22"/>
                <w:szCs w:val="22"/>
                <w:lang w:val="es-CO" w:eastAsia="es-CO"/>
              </w:rPr>
            </w:pPr>
          </w:p>
        </w:tc>
      </w:tr>
      <w:tr w:rsidR="000923A1" w:rsidRPr="00A90479" w14:paraId="6AADB2E2" w14:textId="77777777" w:rsidTr="001805AE">
        <w:trPr>
          <w:trHeight w:val="345"/>
        </w:trPr>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5A2D375" w14:textId="77777777" w:rsidR="000923A1" w:rsidRPr="00A90479" w:rsidRDefault="000923A1" w:rsidP="001805AE">
            <w:pPr>
              <w:rPr>
                <w:rFonts w:ascii="Arial Narrow" w:hAnsi="Arial Narrow" w:cs="Calibri"/>
                <w:color w:val="000000"/>
                <w:sz w:val="22"/>
                <w:szCs w:val="22"/>
                <w:lang w:val="es-CO" w:eastAsia="es-CO"/>
              </w:rPr>
            </w:pPr>
            <w:r w:rsidRPr="00A90479">
              <w:rPr>
                <w:rFonts w:ascii="Arial Narrow" w:hAnsi="Arial Narrow" w:cs="Calibri"/>
                <w:color w:val="000000"/>
                <w:sz w:val="22"/>
                <w:szCs w:val="22"/>
                <w:lang w:val="es-ES" w:eastAsia="es-CO"/>
              </w:rPr>
              <w:t>D. Tránsito</w:t>
            </w:r>
          </w:p>
        </w:tc>
        <w:tc>
          <w:tcPr>
            <w:tcW w:w="955" w:type="dxa"/>
            <w:tcBorders>
              <w:top w:val="nil"/>
              <w:left w:val="nil"/>
              <w:bottom w:val="single" w:sz="8" w:space="0" w:color="auto"/>
              <w:right w:val="single" w:sz="8" w:space="0" w:color="auto"/>
            </w:tcBorders>
            <w:shd w:val="clear" w:color="auto" w:fill="auto"/>
            <w:noWrap/>
            <w:vAlign w:val="center"/>
            <w:hideMark/>
          </w:tcPr>
          <w:p w14:paraId="0297285E" w14:textId="77777777" w:rsidR="000923A1" w:rsidRPr="00A90479" w:rsidRDefault="000923A1" w:rsidP="001805AE">
            <w:pPr>
              <w:jc w:val="right"/>
              <w:rPr>
                <w:rFonts w:ascii="Arial Narrow" w:hAnsi="Arial Narrow" w:cs="Calibri"/>
                <w:color w:val="000000"/>
                <w:sz w:val="22"/>
                <w:szCs w:val="22"/>
                <w:lang w:val="es-CO" w:eastAsia="es-CO"/>
              </w:rPr>
            </w:pPr>
            <w:r w:rsidRPr="00A90479">
              <w:rPr>
                <w:rFonts w:ascii="Arial Narrow" w:hAnsi="Arial Narrow" w:cs="Calibri"/>
                <w:color w:val="000000"/>
                <w:sz w:val="22"/>
                <w:szCs w:val="22"/>
              </w:rPr>
              <w:t>252</w:t>
            </w:r>
          </w:p>
        </w:tc>
        <w:tc>
          <w:tcPr>
            <w:tcW w:w="1415" w:type="dxa"/>
            <w:tcBorders>
              <w:top w:val="nil"/>
              <w:left w:val="nil"/>
              <w:bottom w:val="single" w:sz="8" w:space="0" w:color="auto"/>
              <w:right w:val="single" w:sz="8" w:space="0" w:color="auto"/>
            </w:tcBorders>
            <w:shd w:val="clear" w:color="auto" w:fill="auto"/>
            <w:noWrap/>
            <w:vAlign w:val="center"/>
            <w:hideMark/>
          </w:tcPr>
          <w:p w14:paraId="7BF4512C"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$375.314.088</w:t>
            </w:r>
          </w:p>
        </w:tc>
        <w:tc>
          <w:tcPr>
            <w:tcW w:w="1304" w:type="dxa"/>
            <w:tcBorders>
              <w:top w:val="nil"/>
              <w:left w:val="nil"/>
              <w:bottom w:val="single" w:sz="8" w:space="0" w:color="auto"/>
              <w:right w:val="single" w:sz="8" w:space="0" w:color="auto"/>
            </w:tcBorders>
            <w:shd w:val="clear" w:color="auto" w:fill="auto"/>
            <w:noWrap/>
            <w:vAlign w:val="center"/>
            <w:hideMark/>
          </w:tcPr>
          <w:p w14:paraId="66DAF993"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64,48%</w:t>
            </w:r>
          </w:p>
        </w:tc>
        <w:tc>
          <w:tcPr>
            <w:tcW w:w="1415" w:type="dxa"/>
            <w:tcBorders>
              <w:top w:val="nil"/>
              <w:left w:val="nil"/>
              <w:bottom w:val="single" w:sz="8" w:space="0" w:color="auto"/>
              <w:right w:val="single" w:sz="8" w:space="0" w:color="auto"/>
            </w:tcBorders>
            <w:shd w:val="clear" w:color="auto" w:fill="auto"/>
            <w:noWrap/>
            <w:vAlign w:val="center"/>
            <w:hideMark/>
          </w:tcPr>
          <w:p w14:paraId="79A55F3B"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$588.000.885</w:t>
            </w:r>
          </w:p>
        </w:tc>
        <w:tc>
          <w:tcPr>
            <w:tcW w:w="1555" w:type="dxa"/>
            <w:tcBorders>
              <w:top w:val="nil"/>
              <w:left w:val="nil"/>
              <w:bottom w:val="single" w:sz="8" w:space="0" w:color="auto"/>
              <w:right w:val="single" w:sz="8" w:space="0" w:color="auto"/>
            </w:tcBorders>
            <w:shd w:val="clear" w:color="auto" w:fill="auto"/>
            <w:noWrap/>
            <w:vAlign w:val="center"/>
            <w:hideMark/>
          </w:tcPr>
          <w:p w14:paraId="58434AAD"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$963.314.973</w:t>
            </w:r>
          </w:p>
        </w:tc>
        <w:tc>
          <w:tcPr>
            <w:tcW w:w="1273" w:type="dxa"/>
            <w:tcBorders>
              <w:top w:val="nil"/>
              <w:left w:val="nil"/>
              <w:bottom w:val="single" w:sz="8" w:space="0" w:color="auto"/>
              <w:right w:val="single" w:sz="8" w:space="0" w:color="auto"/>
            </w:tcBorders>
            <w:shd w:val="clear" w:color="auto" w:fill="auto"/>
            <w:noWrap/>
            <w:vAlign w:val="center"/>
            <w:hideMark/>
          </w:tcPr>
          <w:p w14:paraId="2894AC96" w14:textId="77777777" w:rsidR="000923A1" w:rsidRPr="00A90479" w:rsidRDefault="000923A1" w:rsidP="001805AE">
            <w:pPr>
              <w:jc w:val="right"/>
              <w:rPr>
                <w:rFonts w:ascii="Arial Narrow" w:hAnsi="Arial Narrow" w:cs="Calibri"/>
                <w:color w:val="000000"/>
                <w:sz w:val="22"/>
                <w:szCs w:val="22"/>
                <w:lang w:val="es-CO" w:eastAsia="es-CO"/>
              </w:rPr>
            </w:pPr>
            <w:r w:rsidRPr="00A90479">
              <w:rPr>
                <w:rFonts w:ascii="Arial Narrow" w:hAnsi="Arial Narrow" w:cs="Calibri"/>
                <w:color w:val="000000"/>
                <w:sz w:val="22"/>
                <w:szCs w:val="22"/>
                <w:lang w:val="es-ES" w:eastAsia="es-CO"/>
              </w:rPr>
              <w:t>50,64%</w:t>
            </w:r>
          </w:p>
        </w:tc>
      </w:tr>
      <w:tr w:rsidR="000923A1" w:rsidRPr="00A90479" w14:paraId="7F12BB55" w14:textId="77777777" w:rsidTr="001805AE">
        <w:trPr>
          <w:trHeight w:val="345"/>
        </w:trPr>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4B47161" w14:textId="77777777" w:rsidR="000923A1" w:rsidRPr="00A90479" w:rsidRDefault="000923A1" w:rsidP="001805AE">
            <w:pPr>
              <w:rPr>
                <w:rFonts w:ascii="Arial Narrow" w:hAnsi="Arial Narrow" w:cs="Calibri"/>
                <w:color w:val="000000"/>
                <w:sz w:val="22"/>
                <w:szCs w:val="22"/>
                <w:lang w:val="es-CO" w:eastAsia="es-CO"/>
              </w:rPr>
            </w:pPr>
            <w:r w:rsidRPr="00A90479">
              <w:rPr>
                <w:rFonts w:ascii="Arial Narrow" w:hAnsi="Arial Narrow" w:cs="Calibri"/>
                <w:color w:val="000000"/>
                <w:sz w:val="22"/>
                <w:szCs w:val="22"/>
                <w:lang w:val="es-ES" w:eastAsia="es-CO"/>
              </w:rPr>
              <w:t>D. Puertos</w:t>
            </w:r>
          </w:p>
        </w:tc>
        <w:tc>
          <w:tcPr>
            <w:tcW w:w="955" w:type="dxa"/>
            <w:tcBorders>
              <w:top w:val="nil"/>
              <w:left w:val="nil"/>
              <w:bottom w:val="single" w:sz="8" w:space="0" w:color="auto"/>
              <w:right w:val="single" w:sz="8" w:space="0" w:color="auto"/>
            </w:tcBorders>
            <w:shd w:val="clear" w:color="auto" w:fill="auto"/>
            <w:noWrap/>
            <w:vAlign w:val="center"/>
            <w:hideMark/>
          </w:tcPr>
          <w:p w14:paraId="396E5195" w14:textId="77777777" w:rsidR="000923A1" w:rsidRPr="00A90479" w:rsidRDefault="000923A1" w:rsidP="001805AE">
            <w:pPr>
              <w:jc w:val="right"/>
              <w:rPr>
                <w:rFonts w:ascii="Arial Narrow" w:hAnsi="Arial Narrow" w:cs="Calibri"/>
                <w:color w:val="000000"/>
                <w:sz w:val="22"/>
                <w:szCs w:val="22"/>
                <w:lang w:val="es-CO" w:eastAsia="es-CO"/>
              </w:rPr>
            </w:pPr>
            <w:r w:rsidRPr="00A90479">
              <w:rPr>
                <w:rFonts w:ascii="Arial Narrow" w:hAnsi="Arial Narrow" w:cs="Calibri"/>
                <w:color w:val="000000"/>
                <w:sz w:val="22"/>
                <w:szCs w:val="22"/>
                <w:lang w:val="es-ES" w:eastAsia="es-CO"/>
              </w:rPr>
              <w:t>109</w:t>
            </w:r>
          </w:p>
        </w:tc>
        <w:tc>
          <w:tcPr>
            <w:tcW w:w="1415" w:type="dxa"/>
            <w:tcBorders>
              <w:top w:val="nil"/>
              <w:left w:val="nil"/>
              <w:bottom w:val="single" w:sz="8" w:space="0" w:color="auto"/>
              <w:right w:val="single" w:sz="8" w:space="0" w:color="auto"/>
            </w:tcBorders>
            <w:shd w:val="clear" w:color="auto" w:fill="auto"/>
            <w:noWrap/>
            <w:vAlign w:val="center"/>
            <w:hideMark/>
          </w:tcPr>
          <w:p w14:paraId="583C9592"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$215.029.646</w:t>
            </w:r>
          </w:p>
        </w:tc>
        <w:tc>
          <w:tcPr>
            <w:tcW w:w="1304" w:type="dxa"/>
            <w:tcBorders>
              <w:top w:val="nil"/>
              <w:left w:val="nil"/>
              <w:bottom w:val="single" w:sz="8" w:space="0" w:color="auto"/>
              <w:right w:val="single" w:sz="8" w:space="0" w:color="auto"/>
            </w:tcBorders>
            <w:shd w:val="clear" w:color="auto" w:fill="auto"/>
            <w:noWrap/>
            <w:vAlign w:val="center"/>
            <w:hideMark/>
          </w:tcPr>
          <w:p w14:paraId="2742F714"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9,33%</w:t>
            </w:r>
          </w:p>
        </w:tc>
        <w:tc>
          <w:tcPr>
            <w:tcW w:w="1415" w:type="dxa"/>
            <w:tcBorders>
              <w:top w:val="nil"/>
              <w:left w:val="nil"/>
              <w:bottom w:val="single" w:sz="8" w:space="0" w:color="auto"/>
              <w:right w:val="single" w:sz="8" w:space="0" w:color="auto"/>
            </w:tcBorders>
            <w:shd w:val="clear" w:color="auto" w:fill="auto"/>
            <w:noWrap/>
            <w:vAlign w:val="center"/>
            <w:hideMark/>
          </w:tcPr>
          <w:p w14:paraId="4F0D8977"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$85.073.318</w:t>
            </w:r>
          </w:p>
        </w:tc>
        <w:tc>
          <w:tcPr>
            <w:tcW w:w="1555" w:type="dxa"/>
            <w:tcBorders>
              <w:top w:val="nil"/>
              <w:left w:val="nil"/>
              <w:bottom w:val="single" w:sz="8" w:space="0" w:color="auto"/>
              <w:right w:val="single" w:sz="8" w:space="0" w:color="auto"/>
            </w:tcBorders>
            <w:shd w:val="clear" w:color="auto" w:fill="auto"/>
            <w:noWrap/>
            <w:vAlign w:val="center"/>
            <w:hideMark/>
          </w:tcPr>
          <w:p w14:paraId="555F73D8"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$300.102.964</w:t>
            </w:r>
          </w:p>
        </w:tc>
        <w:tc>
          <w:tcPr>
            <w:tcW w:w="1273" w:type="dxa"/>
            <w:tcBorders>
              <w:top w:val="nil"/>
              <w:left w:val="nil"/>
              <w:bottom w:val="single" w:sz="8" w:space="0" w:color="auto"/>
              <w:right w:val="single" w:sz="8" w:space="0" w:color="auto"/>
            </w:tcBorders>
            <w:shd w:val="clear" w:color="auto" w:fill="auto"/>
            <w:noWrap/>
            <w:vAlign w:val="center"/>
            <w:hideMark/>
          </w:tcPr>
          <w:p w14:paraId="49EC0899"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15,78%</w:t>
            </w:r>
          </w:p>
        </w:tc>
      </w:tr>
      <w:tr w:rsidR="000923A1" w:rsidRPr="00A90479" w14:paraId="4A21B15B" w14:textId="77777777" w:rsidTr="001805AE">
        <w:trPr>
          <w:trHeight w:val="345"/>
        </w:trPr>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CA99F59" w14:textId="77777777" w:rsidR="000923A1" w:rsidRPr="00A90479" w:rsidRDefault="000923A1" w:rsidP="001805AE">
            <w:pPr>
              <w:rPr>
                <w:rFonts w:ascii="Arial Narrow" w:hAnsi="Arial Narrow" w:cs="Calibri"/>
                <w:color w:val="000000"/>
                <w:sz w:val="22"/>
                <w:szCs w:val="22"/>
                <w:lang w:val="es-CO" w:eastAsia="es-CO"/>
              </w:rPr>
            </w:pPr>
            <w:r w:rsidRPr="00A90479">
              <w:rPr>
                <w:rFonts w:ascii="Arial Narrow" w:hAnsi="Arial Narrow" w:cs="Calibri"/>
                <w:color w:val="000000"/>
                <w:sz w:val="22"/>
                <w:szCs w:val="22"/>
                <w:lang w:val="es-ES" w:eastAsia="es-CO"/>
              </w:rPr>
              <w:t>D. Concesiones</w:t>
            </w:r>
          </w:p>
        </w:tc>
        <w:tc>
          <w:tcPr>
            <w:tcW w:w="955" w:type="dxa"/>
            <w:tcBorders>
              <w:top w:val="nil"/>
              <w:left w:val="nil"/>
              <w:bottom w:val="single" w:sz="8" w:space="0" w:color="auto"/>
              <w:right w:val="single" w:sz="8" w:space="0" w:color="auto"/>
            </w:tcBorders>
            <w:shd w:val="clear" w:color="auto" w:fill="auto"/>
            <w:noWrap/>
            <w:vAlign w:val="center"/>
            <w:hideMark/>
          </w:tcPr>
          <w:p w14:paraId="6252C95C" w14:textId="77777777" w:rsidR="000923A1" w:rsidRPr="00A90479" w:rsidRDefault="000923A1" w:rsidP="001805AE">
            <w:pPr>
              <w:jc w:val="right"/>
              <w:rPr>
                <w:rFonts w:ascii="Arial Narrow" w:hAnsi="Arial Narrow" w:cs="Calibri"/>
                <w:color w:val="000000"/>
                <w:sz w:val="22"/>
                <w:szCs w:val="22"/>
                <w:lang w:val="es-CO" w:eastAsia="es-CO"/>
              </w:rPr>
            </w:pPr>
            <w:r w:rsidRPr="00A90479">
              <w:rPr>
                <w:rFonts w:ascii="Arial Narrow" w:hAnsi="Arial Narrow" w:cs="Calibri"/>
                <w:color w:val="000000"/>
                <w:sz w:val="22"/>
                <w:szCs w:val="22"/>
                <w:lang w:val="es-ES" w:eastAsia="es-CO"/>
              </w:rPr>
              <w:t>106</w:t>
            </w:r>
          </w:p>
        </w:tc>
        <w:tc>
          <w:tcPr>
            <w:tcW w:w="1415" w:type="dxa"/>
            <w:tcBorders>
              <w:top w:val="nil"/>
              <w:left w:val="nil"/>
              <w:bottom w:val="single" w:sz="8" w:space="0" w:color="auto"/>
              <w:right w:val="single" w:sz="8" w:space="0" w:color="auto"/>
            </w:tcBorders>
            <w:shd w:val="clear" w:color="auto" w:fill="auto"/>
            <w:noWrap/>
            <w:vAlign w:val="center"/>
            <w:hideMark/>
          </w:tcPr>
          <w:p w14:paraId="1D03B8D3"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$262.105.733</w:t>
            </w:r>
          </w:p>
        </w:tc>
        <w:tc>
          <w:tcPr>
            <w:tcW w:w="1304" w:type="dxa"/>
            <w:tcBorders>
              <w:top w:val="nil"/>
              <w:left w:val="nil"/>
              <w:bottom w:val="single" w:sz="8" w:space="0" w:color="auto"/>
              <w:right w:val="single" w:sz="8" w:space="0" w:color="auto"/>
            </w:tcBorders>
            <w:shd w:val="clear" w:color="auto" w:fill="auto"/>
            <w:noWrap/>
            <w:vAlign w:val="center"/>
            <w:hideMark/>
          </w:tcPr>
          <w:p w14:paraId="32D6276F"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11,42%</w:t>
            </w:r>
          </w:p>
        </w:tc>
        <w:tc>
          <w:tcPr>
            <w:tcW w:w="1415" w:type="dxa"/>
            <w:tcBorders>
              <w:top w:val="nil"/>
              <w:left w:val="nil"/>
              <w:bottom w:val="single" w:sz="8" w:space="0" w:color="auto"/>
              <w:right w:val="single" w:sz="8" w:space="0" w:color="auto"/>
            </w:tcBorders>
            <w:shd w:val="clear" w:color="auto" w:fill="auto"/>
            <w:noWrap/>
            <w:vAlign w:val="center"/>
            <w:hideMark/>
          </w:tcPr>
          <w:p w14:paraId="5CB38A50"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$104.151.514</w:t>
            </w:r>
          </w:p>
        </w:tc>
        <w:tc>
          <w:tcPr>
            <w:tcW w:w="1555" w:type="dxa"/>
            <w:tcBorders>
              <w:top w:val="nil"/>
              <w:left w:val="nil"/>
              <w:bottom w:val="single" w:sz="8" w:space="0" w:color="auto"/>
              <w:right w:val="single" w:sz="8" w:space="0" w:color="auto"/>
            </w:tcBorders>
            <w:shd w:val="clear" w:color="auto" w:fill="auto"/>
            <w:noWrap/>
            <w:vAlign w:val="center"/>
            <w:hideMark/>
          </w:tcPr>
          <w:p w14:paraId="6ECE19B8"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$366.257.247</w:t>
            </w:r>
          </w:p>
        </w:tc>
        <w:tc>
          <w:tcPr>
            <w:tcW w:w="1273" w:type="dxa"/>
            <w:tcBorders>
              <w:top w:val="nil"/>
              <w:left w:val="nil"/>
              <w:bottom w:val="single" w:sz="8" w:space="0" w:color="auto"/>
              <w:right w:val="single" w:sz="8" w:space="0" w:color="auto"/>
            </w:tcBorders>
            <w:shd w:val="clear" w:color="auto" w:fill="auto"/>
            <w:noWrap/>
            <w:vAlign w:val="center"/>
            <w:hideMark/>
          </w:tcPr>
          <w:p w14:paraId="73BD8EF1"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19,25%</w:t>
            </w:r>
          </w:p>
        </w:tc>
      </w:tr>
      <w:tr w:rsidR="000923A1" w:rsidRPr="00A90479" w14:paraId="19739C33" w14:textId="77777777" w:rsidTr="001805AE">
        <w:trPr>
          <w:trHeight w:val="345"/>
        </w:trPr>
        <w:tc>
          <w:tcPr>
            <w:tcW w:w="1417" w:type="dxa"/>
            <w:tcBorders>
              <w:top w:val="nil"/>
              <w:left w:val="single" w:sz="8" w:space="0" w:color="auto"/>
              <w:bottom w:val="single" w:sz="8" w:space="0" w:color="auto"/>
              <w:right w:val="single" w:sz="8" w:space="0" w:color="auto"/>
            </w:tcBorders>
            <w:shd w:val="clear" w:color="auto" w:fill="auto"/>
            <w:noWrap/>
            <w:vAlign w:val="center"/>
          </w:tcPr>
          <w:p w14:paraId="099DC901" w14:textId="77777777" w:rsidR="000923A1" w:rsidRPr="00A90479" w:rsidRDefault="000923A1" w:rsidP="001805AE">
            <w:pPr>
              <w:rPr>
                <w:rFonts w:ascii="Arial Narrow" w:hAnsi="Arial Narrow" w:cs="Calibri"/>
                <w:color w:val="000000"/>
                <w:sz w:val="22"/>
                <w:szCs w:val="22"/>
                <w:lang w:val="es-ES" w:eastAsia="es-CO"/>
              </w:rPr>
            </w:pPr>
            <w:r w:rsidRPr="00A90479">
              <w:rPr>
                <w:rFonts w:ascii="Arial Narrow" w:hAnsi="Arial Narrow" w:cs="Calibri"/>
                <w:color w:val="000000"/>
                <w:sz w:val="22"/>
                <w:szCs w:val="22"/>
                <w:lang w:val="es-ES" w:eastAsia="es-CO"/>
              </w:rPr>
              <w:t>D. Protección Usuarios</w:t>
            </w:r>
          </w:p>
        </w:tc>
        <w:tc>
          <w:tcPr>
            <w:tcW w:w="955" w:type="dxa"/>
            <w:tcBorders>
              <w:top w:val="nil"/>
              <w:left w:val="nil"/>
              <w:bottom w:val="single" w:sz="8" w:space="0" w:color="auto"/>
              <w:right w:val="single" w:sz="8" w:space="0" w:color="auto"/>
            </w:tcBorders>
            <w:shd w:val="clear" w:color="auto" w:fill="auto"/>
            <w:noWrap/>
            <w:vAlign w:val="center"/>
          </w:tcPr>
          <w:p w14:paraId="0534CFC8" w14:textId="77777777" w:rsidR="000923A1" w:rsidRPr="00A90479" w:rsidRDefault="000923A1" w:rsidP="001805AE">
            <w:pPr>
              <w:jc w:val="right"/>
              <w:rPr>
                <w:rFonts w:ascii="Arial Narrow" w:hAnsi="Arial Narrow" w:cs="Calibri"/>
                <w:color w:val="000000"/>
                <w:sz w:val="22"/>
                <w:szCs w:val="22"/>
                <w:lang w:val="es-ES" w:eastAsia="es-CO"/>
              </w:rPr>
            </w:pPr>
            <w:r w:rsidRPr="00A90479">
              <w:rPr>
                <w:rFonts w:ascii="Arial Narrow" w:hAnsi="Arial Narrow" w:cs="Calibri"/>
                <w:color w:val="000000"/>
                <w:sz w:val="22"/>
                <w:szCs w:val="22"/>
                <w:lang w:val="es-ES" w:eastAsia="es-CO"/>
              </w:rPr>
              <w:t>102</w:t>
            </w:r>
          </w:p>
        </w:tc>
        <w:tc>
          <w:tcPr>
            <w:tcW w:w="1415" w:type="dxa"/>
            <w:tcBorders>
              <w:top w:val="nil"/>
              <w:left w:val="nil"/>
              <w:bottom w:val="single" w:sz="8" w:space="0" w:color="auto"/>
              <w:right w:val="single" w:sz="8" w:space="0" w:color="auto"/>
            </w:tcBorders>
            <w:shd w:val="clear" w:color="auto" w:fill="auto"/>
            <w:noWrap/>
            <w:vAlign w:val="center"/>
          </w:tcPr>
          <w:p w14:paraId="5613E9C5" w14:textId="77777777" w:rsidR="000923A1" w:rsidRPr="00A90479" w:rsidRDefault="000923A1" w:rsidP="001805AE">
            <w:pPr>
              <w:jc w:val="right"/>
              <w:rPr>
                <w:rFonts w:ascii="Arial Narrow" w:hAnsi="Arial Narrow"/>
                <w:sz w:val="22"/>
                <w:szCs w:val="22"/>
              </w:rPr>
            </w:pPr>
            <w:r w:rsidRPr="00A90479">
              <w:rPr>
                <w:rFonts w:ascii="Arial Narrow" w:hAnsi="Arial Narrow" w:cs="Calibri"/>
                <w:color w:val="000000"/>
                <w:sz w:val="22"/>
                <w:szCs w:val="22"/>
              </w:rPr>
              <w:t>$137.897.197</w:t>
            </w:r>
          </w:p>
        </w:tc>
        <w:tc>
          <w:tcPr>
            <w:tcW w:w="1304" w:type="dxa"/>
            <w:tcBorders>
              <w:top w:val="nil"/>
              <w:left w:val="nil"/>
              <w:bottom w:val="single" w:sz="8" w:space="0" w:color="auto"/>
              <w:right w:val="single" w:sz="8" w:space="0" w:color="auto"/>
            </w:tcBorders>
            <w:shd w:val="clear" w:color="auto" w:fill="auto"/>
            <w:noWrap/>
            <w:vAlign w:val="center"/>
          </w:tcPr>
          <w:p w14:paraId="54FC1AA8" w14:textId="77777777" w:rsidR="000923A1" w:rsidRPr="00A90479" w:rsidRDefault="000923A1" w:rsidP="001805AE">
            <w:pPr>
              <w:jc w:val="right"/>
              <w:rPr>
                <w:rFonts w:ascii="Arial Narrow" w:hAnsi="Arial Narrow"/>
                <w:sz w:val="22"/>
                <w:szCs w:val="22"/>
              </w:rPr>
            </w:pPr>
            <w:r w:rsidRPr="00A90479">
              <w:rPr>
                <w:rFonts w:ascii="Arial Narrow" w:hAnsi="Arial Narrow" w:cs="Calibri"/>
                <w:color w:val="000000"/>
                <w:sz w:val="22"/>
                <w:szCs w:val="22"/>
              </w:rPr>
              <w:t>14,77%</w:t>
            </w:r>
          </w:p>
        </w:tc>
        <w:tc>
          <w:tcPr>
            <w:tcW w:w="1415" w:type="dxa"/>
            <w:tcBorders>
              <w:top w:val="nil"/>
              <w:left w:val="nil"/>
              <w:bottom w:val="single" w:sz="8" w:space="0" w:color="auto"/>
              <w:right w:val="single" w:sz="8" w:space="0" w:color="auto"/>
            </w:tcBorders>
            <w:shd w:val="clear" w:color="auto" w:fill="auto"/>
            <w:noWrap/>
            <w:vAlign w:val="center"/>
          </w:tcPr>
          <w:p w14:paraId="6697950B" w14:textId="77777777" w:rsidR="000923A1" w:rsidRPr="00A90479" w:rsidRDefault="000923A1" w:rsidP="001805AE">
            <w:pPr>
              <w:jc w:val="right"/>
              <w:rPr>
                <w:rFonts w:ascii="Arial Narrow" w:hAnsi="Arial Narrow"/>
                <w:sz w:val="22"/>
                <w:szCs w:val="22"/>
              </w:rPr>
            </w:pPr>
            <w:r w:rsidRPr="00A90479">
              <w:rPr>
                <w:rFonts w:ascii="Arial Narrow" w:hAnsi="Arial Narrow" w:cs="Calibri"/>
                <w:color w:val="000000"/>
                <w:sz w:val="22"/>
                <w:szCs w:val="22"/>
              </w:rPr>
              <w:t>$134,712,314</w:t>
            </w:r>
          </w:p>
        </w:tc>
        <w:tc>
          <w:tcPr>
            <w:tcW w:w="1555" w:type="dxa"/>
            <w:tcBorders>
              <w:top w:val="nil"/>
              <w:left w:val="nil"/>
              <w:bottom w:val="single" w:sz="8" w:space="0" w:color="auto"/>
              <w:right w:val="single" w:sz="8" w:space="0" w:color="auto"/>
            </w:tcBorders>
            <w:shd w:val="clear" w:color="auto" w:fill="auto"/>
            <w:noWrap/>
            <w:vAlign w:val="center"/>
          </w:tcPr>
          <w:p w14:paraId="603DA40E" w14:textId="77777777" w:rsidR="000923A1" w:rsidRPr="00A90479" w:rsidRDefault="000923A1" w:rsidP="001805AE">
            <w:pPr>
              <w:jc w:val="right"/>
              <w:rPr>
                <w:rFonts w:ascii="Arial Narrow" w:hAnsi="Arial Narrow"/>
                <w:sz w:val="22"/>
                <w:szCs w:val="22"/>
              </w:rPr>
            </w:pPr>
            <w:r w:rsidRPr="00A90479">
              <w:rPr>
                <w:rFonts w:ascii="Arial Narrow" w:hAnsi="Arial Narrow" w:cs="Calibri"/>
                <w:color w:val="000000"/>
                <w:sz w:val="22"/>
                <w:szCs w:val="22"/>
              </w:rPr>
              <w:t>$272,609,511</w:t>
            </w:r>
          </w:p>
        </w:tc>
        <w:tc>
          <w:tcPr>
            <w:tcW w:w="1273" w:type="dxa"/>
            <w:tcBorders>
              <w:top w:val="nil"/>
              <w:left w:val="nil"/>
              <w:bottom w:val="single" w:sz="8" w:space="0" w:color="auto"/>
              <w:right w:val="single" w:sz="8" w:space="0" w:color="auto"/>
            </w:tcBorders>
            <w:shd w:val="clear" w:color="auto" w:fill="auto"/>
            <w:noWrap/>
            <w:vAlign w:val="center"/>
          </w:tcPr>
          <w:p w14:paraId="37CB9DDB" w14:textId="77777777" w:rsidR="000923A1" w:rsidRPr="00A90479" w:rsidRDefault="000923A1" w:rsidP="001805AE">
            <w:pPr>
              <w:jc w:val="right"/>
              <w:rPr>
                <w:rFonts w:ascii="Arial Narrow" w:hAnsi="Arial Narrow"/>
                <w:sz w:val="22"/>
                <w:szCs w:val="22"/>
              </w:rPr>
            </w:pPr>
            <w:r w:rsidRPr="00A90479">
              <w:rPr>
                <w:rFonts w:ascii="Arial Narrow" w:hAnsi="Arial Narrow" w:cs="Calibri"/>
                <w:color w:val="000000"/>
                <w:sz w:val="22"/>
                <w:szCs w:val="22"/>
              </w:rPr>
              <w:t>14,33%</w:t>
            </w:r>
          </w:p>
        </w:tc>
      </w:tr>
      <w:tr w:rsidR="000923A1" w:rsidRPr="00A90479" w14:paraId="57279E28" w14:textId="77777777" w:rsidTr="001805AE">
        <w:trPr>
          <w:trHeight w:val="345"/>
        </w:trPr>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33C0881" w14:textId="77777777" w:rsidR="000923A1" w:rsidRPr="00A90479" w:rsidRDefault="000923A1" w:rsidP="001805AE">
            <w:pPr>
              <w:rPr>
                <w:rFonts w:ascii="Arial Narrow" w:hAnsi="Arial Narrow" w:cs="Calibri"/>
                <w:color w:val="000000"/>
                <w:sz w:val="22"/>
                <w:szCs w:val="22"/>
                <w:lang w:val="es-CO" w:eastAsia="es-CO"/>
              </w:rPr>
            </w:pPr>
            <w:r w:rsidRPr="00A90479">
              <w:rPr>
                <w:rFonts w:ascii="Arial Narrow" w:hAnsi="Arial Narrow" w:cs="Calibri"/>
                <w:color w:val="000000"/>
                <w:sz w:val="22"/>
                <w:szCs w:val="22"/>
                <w:lang w:val="es-ES" w:eastAsia="es-CO"/>
              </w:rPr>
              <w:t>Total</w:t>
            </w:r>
          </w:p>
        </w:tc>
        <w:tc>
          <w:tcPr>
            <w:tcW w:w="955" w:type="dxa"/>
            <w:tcBorders>
              <w:top w:val="nil"/>
              <w:left w:val="nil"/>
              <w:bottom w:val="single" w:sz="8" w:space="0" w:color="auto"/>
              <w:right w:val="single" w:sz="8" w:space="0" w:color="auto"/>
            </w:tcBorders>
            <w:shd w:val="clear" w:color="auto" w:fill="auto"/>
            <w:noWrap/>
            <w:vAlign w:val="center"/>
            <w:hideMark/>
          </w:tcPr>
          <w:p w14:paraId="311EE447" w14:textId="77777777" w:rsidR="000923A1" w:rsidRPr="00A90479" w:rsidRDefault="000923A1" w:rsidP="001805AE">
            <w:pPr>
              <w:jc w:val="right"/>
              <w:rPr>
                <w:rFonts w:ascii="Arial Narrow" w:hAnsi="Arial Narrow" w:cs="Calibri"/>
                <w:color w:val="000000"/>
                <w:sz w:val="22"/>
                <w:szCs w:val="22"/>
                <w:lang w:val="es-CO" w:eastAsia="es-CO"/>
              </w:rPr>
            </w:pPr>
            <w:r w:rsidRPr="00A90479">
              <w:rPr>
                <w:rFonts w:ascii="Arial Narrow" w:hAnsi="Arial Narrow" w:cs="Calibri"/>
                <w:color w:val="000000"/>
                <w:sz w:val="22"/>
                <w:szCs w:val="22"/>
                <w:lang w:val="es-ES" w:eastAsia="es-CO"/>
              </w:rPr>
              <w:t>569</w:t>
            </w:r>
          </w:p>
        </w:tc>
        <w:tc>
          <w:tcPr>
            <w:tcW w:w="1415" w:type="dxa"/>
            <w:tcBorders>
              <w:top w:val="nil"/>
              <w:left w:val="nil"/>
              <w:bottom w:val="single" w:sz="8" w:space="0" w:color="auto"/>
              <w:right w:val="single" w:sz="8" w:space="0" w:color="auto"/>
            </w:tcBorders>
            <w:shd w:val="clear" w:color="auto" w:fill="auto"/>
            <w:noWrap/>
            <w:vAlign w:val="center"/>
            <w:hideMark/>
          </w:tcPr>
          <w:p w14:paraId="0928401B"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$990.346.664</w:t>
            </w:r>
          </w:p>
        </w:tc>
        <w:tc>
          <w:tcPr>
            <w:tcW w:w="1304" w:type="dxa"/>
            <w:tcBorders>
              <w:top w:val="nil"/>
              <w:left w:val="nil"/>
              <w:bottom w:val="single" w:sz="8" w:space="0" w:color="auto"/>
              <w:right w:val="single" w:sz="8" w:space="0" w:color="auto"/>
            </w:tcBorders>
            <w:shd w:val="clear" w:color="auto" w:fill="auto"/>
            <w:noWrap/>
            <w:vAlign w:val="center"/>
            <w:hideMark/>
          </w:tcPr>
          <w:p w14:paraId="682FFAC9"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100%</w:t>
            </w:r>
          </w:p>
        </w:tc>
        <w:tc>
          <w:tcPr>
            <w:tcW w:w="1415" w:type="dxa"/>
            <w:tcBorders>
              <w:top w:val="nil"/>
              <w:left w:val="nil"/>
              <w:bottom w:val="single" w:sz="8" w:space="0" w:color="auto"/>
              <w:right w:val="single" w:sz="8" w:space="0" w:color="auto"/>
            </w:tcBorders>
            <w:shd w:val="clear" w:color="auto" w:fill="auto"/>
            <w:noWrap/>
            <w:vAlign w:val="center"/>
            <w:hideMark/>
          </w:tcPr>
          <w:p w14:paraId="13B4ECF4"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$911,938,031</w:t>
            </w:r>
          </w:p>
        </w:tc>
        <w:tc>
          <w:tcPr>
            <w:tcW w:w="1555" w:type="dxa"/>
            <w:tcBorders>
              <w:top w:val="nil"/>
              <w:left w:val="nil"/>
              <w:bottom w:val="single" w:sz="8" w:space="0" w:color="auto"/>
              <w:right w:val="single" w:sz="8" w:space="0" w:color="auto"/>
            </w:tcBorders>
            <w:shd w:val="clear" w:color="auto" w:fill="auto"/>
            <w:noWrap/>
            <w:vAlign w:val="center"/>
            <w:hideMark/>
          </w:tcPr>
          <w:p w14:paraId="1EF310C1"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$1,902,284,695</w:t>
            </w:r>
          </w:p>
        </w:tc>
        <w:tc>
          <w:tcPr>
            <w:tcW w:w="1273" w:type="dxa"/>
            <w:tcBorders>
              <w:top w:val="nil"/>
              <w:left w:val="nil"/>
              <w:bottom w:val="single" w:sz="8" w:space="0" w:color="auto"/>
              <w:right w:val="single" w:sz="8" w:space="0" w:color="auto"/>
            </w:tcBorders>
            <w:shd w:val="clear" w:color="auto" w:fill="auto"/>
            <w:noWrap/>
            <w:vAlign w:val="center"/>
            <w:hideMark/>
          </w:tcPr>
          <w:p w14:paraId="6DD673DC" w14:textId="77777777" w:rsidR="000923A1" w:rsidRPr="00A90479" w:rsidRDefault="000923A1" w:rsidP="001805AE">
            <w:pPr>
              <w:jc w:val="right"/>
              <w:rPr>
                <w:rFonts w:ascii="Arial Narrow" w:hAnsi="Arial Narrow"/>
                <w:sz w:val="22"/>
                <w:szCs w:val="22"/>
              </w:rPr>
            </w:pPr>
            <w:r w:rsidRPr="00A90479">
              <w:rPr>
                <w:rFonts w:ascii="Arial Narrow" w:hAnsi="Arial Narrow"/>
                <w:sz w:val="22"/>
                <w:szCs w:val="22"/>
              </w:rPr>
              <w:t>100,00%</w:t>
            </w:r>
          </w:p>
        </w:tc>
      </w:tr>
      <w:tr w:rsidR="000923A1" w:rsidRPr="00A90479" w14:paraId="4C011CFA" w14:textId="77777777" w:rsidTr="001805AE">
        <w:trPr>
          <w:trHeight w:val="345"/>
        </w:trPr>
        <w:tc>
          <w:tcPr>
            <w:tcW w:w="933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EB3947" w14:textId="77777777" w:rsidR="000923A1" w:rsidRPr="00A90479" w:rsidRDefault="000923A1" w:rsidP="001805AE">
            <w:pPr>
              <w:rPr>
                <w:rFonts w:ascii="Arial Narrow" w:hAnsi="Arial Narrow" w:cs="Calibri"/>
                <w:color w:val="000000"/>
                <w:sz w:val="22"/>
                <w:szCs w:val="22"/>
                <w:lang w:val="es-CO" w:eastAsia="es-CO"/>
              </w:rPr>
            </w:pPr>
            <w:r w:rsidRPr="00A90479">
              <w:rPr>
                <w:rFonts w:ascii="Arial Narrow" w:hAnsi="Arial Narrow" w:cs="Calibri"/>
                <w:color w:val="000000"/>
                <w:sz w:val="22"/>
                <w:szCs w:val="22"/>
                <w:lang w:val="es-ES" w:eastAsia="es-CO"/>
              </w:rPr>
              <w:t>Fuente: Superintendencia de Transporte, Oficina Asesora de Planeación.</w:t>
            </w:r>
          </w:p>
        </w:tc>
      </w:tr>
    </w:tbl>
    <w:p w14:paraId="429E53DF" w14:textId="77777777" w:rsidR="00437409" w:rsidRPr="002B3EE9" w:rsidRDefault="00437409" w:rsidP="00437409">
      <w:pPr>
        <w:ind w:right="50"/>
        <w:rPr>
          <w:rFonts w:ascii="Arial Narrow" w:hAnsi="Arial Narrow" w:cs="Calibri"/>
          <w:sz w:val="24"/>
          <w:szCs w:val="24"/>
          <w:highlight w:val="yellow"/>
          <w:shd w:val="clear" w:color="auto" w:fill="FFFFFF"/>
        </w:rPr>
      </w:pPr>
      <w:r w:rsidRPr="002B3EE9">
        <w:rPr>
          <w:rFonts w:ascii="Arial Narrow" w:hAnsi="Arial Narrow" w:cs="Calibri"/>
          <w:sz w:val="24"/>
          <w:szCs w:val="24"/>
          <w:highlight w:val="yellow"/>
          <w:shd w:val="clear" w:color="auto" w:fill="FFFFFF"/>
        </w:rPr>
        <w:fldChar w:fldCharType="end"/>
      </w:r>
    </w:p>
    <w:p w14:paraId="4F045EF6" w14:textId="7946CD4F" w:rsidR="00437409" w:rsidRDefault="00437409" w:rsidP="00437409">
      <w:pPr>
        <w:numPr>
          <w:ilvl w:val="0"/>
          <w:numId w:val="4"/>
        </w:numPr>
        <w:ind w:right="50"/>
        <w:jc w:val="both"/>
        <w:rPr>
          <w:rFonts w:ascii="Arial Narrow" w:hAnsi="Arial Narrow" w:cs="Calibri"/>
          <w:sz w:val="24"/>
          <w:szCs w:val="24"/>
          <w:shd w:val="clear" w:color="auto" w:fill="FFFFFF"/>
        </w:rPr>
      </w:pPr>
      <w:r w:rsidRPr="00055ECD">
        <w:rPr>
          <w:rFonts w:ascii="Arial Narrow" w:hAnsi="Arial Narrow" w:cs="Calibri"/>
          <w:sz w:val="24"/>
          <w:szCs w:val="24"/>
          <w:shd w:val="clear" w:color="auto" w:fill="FFFFFF"/>
        </w:rPr>
        <w:t>Cálculo del α (</w:t>
      </w:r>
      <w:proofErr w:type="spellStart"/>
      <w:r w:rsidRPr="00055ECD">
        <w:rPr>
          <w:rFonts w:ascii="Arial Narrow" w:hAnsi="Arial Narrow" w:cs="Calibri"/>
          <w:sz w:val="24"/>
          <w:szCs w:val="24"/>
          <w:shd w:val="clear" w:color="auto" w:fill="FFFFFF"/>
        </w:rPr>
        <w:t>Alpha</w:t>
      </w:r>
      <w:proofErr w:type="spellEnd"/>
      <w:r w:rsidRPr="00055ECD">
        <w:rPr>
          <w:rFonts w:ascii="Arial Narrow" w:hAnsi="Arial Narrow" w:cs="Calibri"/>
          <w:sz w:val="24"/>
          <w:szCs w:val="24"/>
          <w:shd w:val="clear" w:color="auto" w:fill="FFFFFF"/>
        </w:rPr>
        <w:t xml:space="preserve">): El cálculo del parámetro </w:t>
      </w:r>
      <w:proofErr w:type="spellStart"/>
      <w:r w:rsidRPr="00055ECD">
        <w:rPr>
          <w:rFonts w:ascii="Arial Narrow" w:hAnsi="Arial Narrow" w:cs="Calibri"/>
          <w:sz w:val="24"/>
          <w:szCs w:val="24"/>
          <w:shd w:val="clear" w:color="auto" w:fill="FFFFFF"/>
        </w:rPr>
        <w:t>Alpha</w:t>
      </w:r>
      <w:proofErr w:type="spellEnd"/>
      <w:r w:rsidRPr="00055ECD">
        <w:rPr>
          <w:rFonts w:ascii="Arial Narrow" w:hAnsi="Arial Narrow" w:cs="Calibri"/>
          <w:sz w:val="24"/>
          <w:szCs w:val="24"/>
          <w:shd w:val="clear" w:color="auto" w:fill="FFFFFF"/>
        </w:rPr>
        <w:t xml:space="preserve"> se realizó, como lo indica la guía metodológica, teniendo como base la vigilancia integral y la vigilancia subjetiva obteniendo los resultados relacionados:</w:t>
      </w:r>
    </w:p>
    <w:p w14:paraId="2C3F3BAC" w14:textId="7F635A13" w:rsidR="00145DA7" w:rsidRDefault="00145DA7" w:rsidP="00145DA7">
      <w:pPr>
        <w:ind w:right="50"/>
        <w:jc w:val="both"/>
        <w:rPr>
          <w:rFonts w:ascii="Arial Narrow" w:hAnsi="Arial Narrow" w:cs="Calibri"/>
          <w:sz w:val="24"/>
          <w:szCs w:val="24"/>
          <w:shd w:val="clear" w:color="auto" w:fill="FFFFFF"/>
        </w:rPr>
      </w:pPr>
    </w:p>
    <w:p w14:paraId="21837C6C" w14:textId="77777777" w:rsidR="00145DA7" w:rsidRPr="00055ECD" w:rsidRDefault="00145DA7" w:rsidP="00145DA7">
      <w:pPr>
        <w:ind w:right="50"/>
        <w:jc w:val="both"/>
        <w:rPr>
          <w:rFonts w:ascii="Arial Narrow" w:hAnsi="Arial Narrow" w:cs="Calibri"/>
          <w:sz w:val="24"/>
          <w:szCs w:val="24"/>
          <w:shd w:val="clear" w:color="auto" w:fill="FFFFFF"/>
        </w:rPr>
      </w:pPr>
    </w:p>
    <w:p w14:paraId="75BBF21C" w14:textId="77777777" w:rsidR="00C6062C" w:rsidRPr="002B3EE9" w:rsidRDefault="00C6062C" w:rsidP="00C6062C">
      <w:pPr>
        <w:ind w:left="786" w:right="50"/>
        <w:jc w:val="both"/>
        <w:rPr>
          <w:rFonts w:ascii="Arial Narrow" w:hAnsi="Arial Narrow" w:cs="Calibri"/>
          <w:sz w:val="24"/>
          <w:szCs w:val="24"/>
          <w:highlight w:val="yellow"/>
          <w:shd w:val="clear" w:color="auto" w:fill="FFFFFF"/>
        </w:rPr>
      </w:pPr>
    </w:p>
    <w:tbl>
      <w:tblPr>
        <w:tblW w:w="5518" w:type="dxa"/>
        <w:tblInd w:w="2349" w:type="dxa"/>
        <w:tblCellMar>
          <w:left w:w="70" w:type="dxa"/>
          <w:right w:w="70" w:type="dxa"/>
        </w:tblCellMar>
        <w:tblLook w:val="04A0" w:firstRow="1" w:lastRow="0" w:firstColumn="1" w:lastColumn="0" w:noHBand="0" w:noVBand="1"/>
      </w:tblPr>
      <w:tblGrid>
        <w:gridCol w:w="3040"/>
        <w:gridCol w:w="2478"/>
      </w:tblGrid>
      <w:tr w:rsidR="00055ECD" w:rsidRPr="002512F3" w14:paraId="6FE52610" w14:textId="77777777" w:rsidTr="001805AE">
        <w:trPr>
          <w:trHeight w:val="454"/>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C74F" w14:textId="77777777" w:rsidR="00055ECD" w:rsidRPr="002512F3" w:rsidRDefault="00055ECD" w:rsidP="001805AE">
            <w:pPr>
              <w:ind w:right="50"/>
              <w:jc w:val="center"/>
              <w:rPr>
                <w:rFonts w:ascii="Arial Narrow" w:hAnsi="Arial Narrow" w:cs="Calibri"/>
                <w:b/>
                <w:bCs/>
                <w:sz w:val="22"/>
                <w:szCs w:val="22"/>
                <w:shd w:val="clear" w:color="auto" w:fill="FFFFFF"/>
                <w:lang w:val="es-CO"/>
              </w:rPr>
            </w:pPr>
            <w:r w:rsidRPr="002512F3">
              <w:rPr>
                <w:rFonts w:ascii="Arial Narrow" w:hAnsi="Arial Narrow" w:cs="Calibri"/>
                <w:b/>
                <w:bCs/>
                <w:sz w:val="22"/>
                <w:szCs w:val="22"/>
                <w:shd w:val="clear" w:color="auto" w:fill="FFFFFF"/>
                <w:lang w:val="es-CO"/>
              </w:rPr>
              <w:lastRenderedPageBreak/>
              <w:t>Imputación</w:t>
            </w:r>
          </w:p>
        </w:tc>
        <w:tc>
          <w:tcPr>
            <w:tcW w:w="2478" w:type="dxa"/>
            <w:tcBorders>
              <w:top w:val="single" w:sz="4" w:space="0" w:color="auto"/>
              <w:left w:val="nil"/>
              <w:bottom w:val="single" w:sz="4" w:space="0" w:color="auto"/>
              <w:right w:val="single" w:sz="4" w:space="0" w:color="auto"/>
            </w:tcBorders>
            <w:shd w:val="clear" w:color="auto" w:fill="auto"/>
            <w:vAlign w:val="center"/>
            <w:hideMark/>
          </w:tcPr>
          <w:p w14:paraId="46421324" w14:textId="77777777" w:rsidR="00055ECD" w:rsidRPr="002512F3" w:rsidRDefault="00055ECD" w:rsidP="001805AE">
            <w:pPr>
              <w:ind w:right="50"/>
              <w:jc w:val="center"/>
              <w:rPr>
                <w:rFonts w:ascii="Arial Narrow" w:hAnsi="Arial Narrow" w:cs="Calibri"/>
                <w:b/>
                <w:bCs/>
                <w:sz w:val="22"/>
                <w:szCs w:val="22"/>
                <w:shd w:val="clear" w:color="auto" w:fill="FFFFFF"/>
                <w:lang w:val="es-CO"/>
              </w:rPr>
            </w:pPr>
            <w:r w:rsidRPr="002512F3">
              <w:rPr>
                <w:rFonts w:ascii="Arial Narrow" w:hAnsi="Arial Narrow" w:cs="Calibri"/>
                <w:b/>
                <w:bCs/>
                <w:sz w:val="22"/>
                <w:szCs w:val="22"/>
                <w:shd w:val="clear" w:color="auto" w:fill="FFFFFF"/>
                <w:lang w:val="es-CO"/>
              </w:rPr>
              <w:t>Costos salariales y CPS</w:t>
            </w:r>
          </w:p>
        </w:tc>
      </w:tr>
      <w:tr w:rsidR="00055ECD" w:rsidRPr="002512F3" w14:paraId="56903198"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44F239C9" w14:textId="77777777" w:rsidR="00055ECD" w:rsidRPr="002512F3" w:rsidRDefault="00055ECD" w:rsidP="001805AE">
            <w:pPr>
              <w:ind w:right="50"/>
              <w:rPr>
                <w:rFonts w:ascii="Arial Narrow" w:hAnsi="Arial Narrow" w:cs="Calibri"/>
                <w:b/>
                <w:bCs/>
                <w:sz w:val="22"/>
                <w:szCs w:val="22"/>
                <w:shd w:val="clear" w:color="auto" w:fill="FFFFFF"/>
                <w:lang w:val="es-CO"/>
              </w:rPr>
            </w:pPr>
            <w:r w:rsidRPr="002512F3">
              <w:rPr>
                <w:rFonts w:ascii="Arial Narrow" w:hAnsi="Arial Narrow" w:cs="Calibri"/>
                <w:b/>
                <w:bCs/>
                <w:sz w:val="22"/>
                <w:szCs w:val="22"/>
                <w:shd w:val="clear" w:color="auto" w:fill="FFFFFF"/>
                <w:lang w:val="es-CO"/>
              </w:rPr>
              <w:t>Vigilancia integral</w:t>
            </w:r>
          </w:p>
        </w:tc>
        <w:tc>
          <w:tcPr>
            <w:tcW w:w="2478" w:type="dxa"/>
            <w:tcBorders>
              <w:top w:val="nil"/>
              <w:left w:val="nil"/>
              <w:bottom w:val="single" w:sz="4" w:space="0" w:color="auto"/>
              <w:right w:val="single" w:sz="4" w:space="0" w:color="auto"/>
            </w:tcBorders>
            <w:shd w:val="clear" w:color="auto" w:fill="auto"/>
            <w:noWrap/>
            <w:vAlign w:val="center"/>
          </w:tcPr>
          <w:p w14:paraId="1B9FA52B" w14:textId="77777777" w:rsidR="00055ECD" w:rsidRPr="002512F3" w:rsidRDefault="00055ECD" w:rsidP="001805AE">
            <w:pPr>
              <w:ind w:right="50"/>
              <w:jc w:val="right"/>
              <w:rPr>
                <w:rFonts w:ascii="Arial Narrow" w:hAnsi="Arial Narrow" w:cs="Calibri"/>
                <w:b/>
                <w:bCs/>
                <w:sz w:val="22"/>
                <w:szCs w:val="22"/>
                <w:shd w:val="clear" w:color="auto" w:fill="FFFFFF"/>
                <w:lang w:val="es-CO"/>
              </w:rPr>
            </w:pPr>
            <w:r>
              <w:rPr>
                <w:rFonts w:ascii="Arial Narrow" w:hAnsi="Arial Narrow" w:cs="Calibri"/>
                <w:b/>
                <w:bCs/>
                <w:sz w:val="22"/>
                <w:szCs w:val="22"/>
                <w:shd w:val="clear" w:color="auto" w:fill="FFFFFF"/>
                <w:lang w:val="es-CO"/>
              </w:rPr>
              <w:t>1.138.014.058</w:t>
            </w:r>
          </w:p>
        </w:tc>
      </w:tr>
      <w:tr w:rsidR="00055ECD" w:rsidRPr="002512F3" w14:paraId="35432C81"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74CB7F4A" w14:textId="77777777" w:rsidR="00055ECD" w:rsidRPr="002512F3" w:rsidRDefault="00055ECD" w:rsidP="001805AE">
            <w:pPr>
              <w:ind w:right="50"/>
              <w:rPr>
                <w:rFonts w:ascii="Arial Narrow" w:hAnsi="Arial Narrow" w:cs="Calibri"/>
                <w:bCs/>
                <w:sz w:val="22"/>
                <w:szCs w:val="22"/>
                <w:shd w:val="clear" w:color="auto" w:fill="FFFFFF"/>
                <w:lang w:val="es-CO"/>
              </w:rPr>
            </w:pPr>
            <w:r w:rsidRPr="002512F3">
              <w:rPr>
                <w:rFonts w:ascii="Arial Narrow" w:hAnsi="Arial Narrow" w:cs="Calibri"/>
                <w:bCs/>
                <w:sz w:val="22"/>
                <w:szCs w:val="22"/>
                <w:shd w:val="clear" w:color="auto" w:fill="FFFFFF"/>
                <w:lang w:val="es-CO"/>
              </w:rPr>
              <w:t>Concesiones</w:t>
            </w:r>
          </w:p>
        </w:tc>
        <w:tc>
          <w:tcPr>
            <w:tcW w:w="2478" w:type="dxa"/>
            <w:tcBorders>
              <w:top w:val="nil"/>
              <w:left w:val="nil"/>
              <w:bottom w:val="single" w:sz="4" w:space="0" w:color="auto"/>
              <w:right w:val="single" w:sz="4" w:space="0" w:color="auto"/>
            </w:tcBorders>
            <w:shd w:val="clear" w:color="auto" w:fill="auto"/>
            <w:noWrap/>
            <w:vAlign w:val="center"/>
          </w:tcPr>
          <w:p w14:paraId="3DDF2960" w14:textId="77777777" w:rsidR="00055ECD" w:rsidRPr="000E5920" w:rsidRDefault="00055ECD" w:rsidP="001805AE">
            <w:pPr>
              <w:jc w:val="center"/>
              <w:rPr>
                <w:rFonts w:ascii="Arial Narrow" w:hAnsi="Arial Narrow" w:cs="Calibri"/>
                <w:sz w:val="22"/>
                <w:szCs w:val="22"/>
                <w:lang w:val="es-CO" w:eastAsia="es-CO"/>
              </w:rPr>
            </w:pPr>
            <w:r>
              <w:rPr>
                <w:rFonts w:ascii="Arial Narrow" w:hAnsi="Arial Narrow" w:cs="Calibri"/>
                <w:sz w:val="22"/>
                <w:szCs w:val="22"/>
                <w:lang w:val="es-CO" w:eastAsia="es-CO"/>
              </w:rPr>
              <w:t xml:space="preserve">                      92.404</w:t>
            </w:r>
            <w:r w:rsidRPr="000E5920">
              <w:rPr>
                <w:rFonts w:ascii="Arial Narrow" w:hAnsi="Arial Narrow" w:cs="Calibri"/>
                <w:sz w:val="22"/>
                <w:szCs w:val="22"/>
                <w:lang w:val="es-CO" w:eastAsia="es-CO"/>
              </w:rPr>
              <w:t>.2</w:t>
            </w:r>
            <w:r>
              <w:rPr>
                <w:rFonts w:ascii="Arial Narrow" w:hAnsi="Arial Narrow" w:cs="Calibri"/>
                <w:sz w:val="22"/>
                <w:szCs w:val="22"/>
                <w:lang w:val="es-CO" w:eastAsia="es-CO"/>
              </w:rPr>
              <w:t>87</w:t>
            </w:r>
          </w:p>
        </w:tc>
      </w:tr>
      <w:tr w:rsidR="00055ECD" w:rsidRPr="002512F3" w14:paraId="0B95F974"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6D0F2887" w14:textId="77777777" w:rsidR="00055ECD" w:rsidRPr="002512F3" w:rsidRDefault="00055ECD" w:rsidP="001805AE">
            <w:pPr>
              <w:ind w:right="50"/>
              <w:rPr>
                <w:rFonts w:ascii="Arial Narrow" w:hAnsi="Arial Narrow" w:cs="Calibri"/>
                <w:sz w:val="22"/>
                <w:szCs w:val="22"/>
                <w:shd w:val="clear" w:color="auto" w:fill="FFFFFF"/>
                <w:lang w:val="es-CO"/>
              </w:rPr>
            </w:pPr>
            <w:r w:rsidRPr="002512F3">
              <w:rPr>
                <w:rFonts w:ascii="Arial Narrow" w:hAnsi="Arial Narrow" w:cs="Calibri"/>
                <w:sz w:val="22"/>
                <w:szCs w:val="22"/>
                <w:shd w:val="clear" w:color="auto" w:fill="FFFFFF"/>
                <w:lang w:val="es-CO"/>
              </w:rPr>
              <w:t>Puertos</w:t>
            </w:r>
          </w:p>
        </w:tc>
        <w:tc>
          <w:tcPr>
            <w:tcW w:w="2478" w:type="dxa"/>
            <w:tcBorders>
              <w:top w:val="nil"/>
              <w:left w:val="nil"/>
              <w:bottom w:val="single" w:sz="4" w:space="0" w:color="auto"/>
              <w:right w:val="single" w:sz="4" w:space="0" w:color="auto"/>
            </w:tcBorders>
            <w:shd w:val="clear" w:color="auto" w:fill="auto"/>
            <w:noWrap/>
            <w:vAlign w:val="center"/>
          </w:tcPr>
          <w:p w14:paraId="7992B0CF" w14:textId="77777777" w:rsidR="00055ECD" w:rsidRPr="000E5920" w:rsidRDefault="00055ECD" w:rsidP="001805AE">
            <w:pPr>
              <w:jc w:val="center"/>
              <w:rPr>
                <w:rFonts w:ascii="Arial Narrow" w:hAnsi="Arial Narrow" w:cs="Calibri"/>
                <w:sz w:val="22"/>
                <w:szCs w:val="22"/>
                <w:lang w:val="es-CO" w:eastAsia="es-CO"/>
              </w:rPr>
            </w:pPr>
            <w:r>
              <w:rPr>
                <w:rFonts w:ascii="Arial Narrow" w:hAnsi="Arial Narrow" w:cs="Calibri"/>
                <w:sz w:val="22"/>
                <w:szCs w:val="22"/>
                <w:lang w:val="es-CO" w:eastAsia="es-CO"/>
              </w:rPr>
              <w:t xml:space="preserve">                    292.473.998</w:t>
            </w:r>
            <w:r w:rsidRPr="000E5920">
              <w:rPr>
                <w:rFonts w:ascii="Arial Narrow" w:hAnsi="Arial Narrow" w:cs="Calibri"/>
                <w:sz w:val="22"/>
                <w:szCs w:val="22"/>
                <w:lang w:val="es-CO" w:eastAsia="es-CO"/>
              </w:rPr>
              <w:t xml:space="preserve"> </w:t>
            </w:r>
          </w:p>
        </w:tc>
      </w:tr>
      <w:tr w:rsidR="00055ECD" w:rsidRPr="002512F3" w14:paraId="7017D373"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138F7B2F" w14:textId="77777777" w:rsidR="00055ECD" w:rsidRPr="002512F3" w:rsidRDefault="00055ECD" w:rsidP="001805AE">
            <w:pPr>
              <w:ind w:right="50"/>
              <w:rPr>
                <w:rFonts w:ascii="Arial Narrow" w:hAnsi="Arial Narrow" w:cs="Calibri"/>
                <w:sz w:val="22"/>
                <w:szCs w:val="22"/>
                <w:shd w:val="clear" w:color="auto" w:fill="FFFFFF"/>
                <w:lang w:val="es-CO"/>
              </w:rPr>
            </w:pPr>
            <w:r w:rsidRPr="002512F3">
              <w:rPr>
                <w:rFonts w:ascii="Arial Narrow" w:hAnsi="Arial Narrow" w:cs="Calibri"/>
                <w:sz w:val="22"/>
                <w:szCs w:val="22"/>
                <w:shd w:val="clear" w:color="auto" w:fill="FFFFFF"/>
                <w:lang w:val="es-CO"/>
              </w:rPr>
              <w:t>Tránsito</w:t>
            </w:r>
          </w:p>
        </w:tc>
        <w:tc>
          <w:tcPr>
            <w:tcW w:w="2478" w:type="dxa"/>
            <w:tcBorders>
              <w:top w:val="nil"/>
              <w:left w:val="nil"/>
              <w:bottom w:val="single" w:sz="4" w:space="0" w:color="auto"/>
              <w:right w:val="single" w:sz="4" w:space="0" w:color="auto"/>
            </w:tcBorders>
            <w:shd w:val="clear" w:color="auto" w:fill="auto"/>
            <w:noWrap/>
            <w:vAlign w:val="center"/>
          </w:tcPr>
          <w:p w14:paraId="02757BB7" w14:textId="77777777" w:rsidR="00055ECD" w:rsidRPr="000E5920" w:rsidRDefault="00055ECD" w:rsidP="001805AE">
            <w:pPr>
              <w:jc w:val="center"/>
              <w:rPr>
                <w:rFonts w:ascii="Arial Narrow" w:hAnsi="Arial Narrow" w:cs="Calibri"/>
                <w:sz w:val="22"/>
                <w:szCs w:val="22"/>
                <w:lang w:val="es-CO" w:eastAsia="es-CO"/>
              </w:rPr>
            </w:pPr>
            <w:r w:rsidRPr="000E5920">
              <w:rPr>
                <w:rFonts w:ascii="Arial Narrow" w:hAnsi="Arial Narrow" w:cs="Calibri"/>
                <w:sz w:val="22"/>
                <w:szCs w:val="22"/>
                <w:lang w:val="es-CO" w:eastAsia="es-CO"/>
              </w:rPr>
              <w:t xml:space="preserve">                    </w:t>
            </w:r>
            <w:r>
              <w:rPr>
                <w:rFonts w:ascii="Arial Narrow" w:hAnsi="Arial Narrow" w:cs="Calibri"/>
                <w:sz w:val="22"/>
                <w:szCs w:val="22"/>
                <w:lang w:val="es-CO" w:eastAsia="es-CO"/>
              </w:rPr>
              <w:t>753.135.772</w:t>
            </w:r>
            <w:r w:rsidRPr="000E5920">
              <w:rPr>
                <w:rFonts w:ascii="Arial Narrow" w:hAnsi="Arial Narrow" w:cs="Calibri"/>
                <w:sz w:val="22"/>
                <w:szCs w:val="22"/>
                <w:lang w:val="es-CO" w:eastAsia="es-CO"/>
              </w:rPr>
              <w:t xml:space="preserve"> </w:t>
            </w:r>
          </w:p>
        </w:tc>
      </w:tr>
      <w:tr w:rsidR="00055ECD" w:rsidRPr="002512F3" w14:paraId="799AD2B7"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5D17D6EB" w14:textId="77777777" w:rsidR="00055ECD" w:rsidRPr="002512F3" w:rsidRDefault="00055ECD" w:rsidP="001805AE">
            <w:pPr>
              <w:ind w:right="50"/>
              <w:rPr>
                <w:rFonts w:ascii="Arial Narrow" w:hAnsi="Arial Narrow" w:cs="Calibri"/>
                <w:sz w:val="22"/>
                <w:szCs w:val="22"/>
                <w:shd w:val="clear" w:color="auto" w:fill="FFFFFF"/>
                <w:lang w:val="es-CO"/>
              </w:rPr>
            </w:pPr>
            <w:r w:rsidRPr="002512F3">
              <w:rPr>
                <w:rFonts w:ascii="Arial Narrow" w:hAnsi="Arial Narrow" w:cs="Calibri"/>
                <w:sz w:val="22"/>
                <w:szCs w:val="22"/>
                <w:shd w:val="clear" w:color="auto" w:fill="FFFFFF"/>
                <w:lang w:val="es-CO"/>
              </w:rPr>
              <w:t>Protección Usuarios</w:t>
            </w:r>
          </w:p>
        </w:tc>
        <w:tc>
          <w:tcPr>
            <w:tcW w:w="2478" w:type="dxa"/>
            <w:tcBorders>
              <w:top w:val="nil"/>
              <w:left w:val="nil"/>
              <w:bottom w:val="single" w:sz="4" w:space="0" w:color="auto"/>
              <w:right w:val="single" w:sz="4" w:space="0" w:color="auto"/>
            </w:tcBorders>
            <w:shd w:val="clear" w:color="auto" w:fill="auto"/>
            <w:noWrap/>
            <w:vAlign w:val="center"/>
          </w:tcPr>
          <w:p w14:paraId="769CD4C0" w14:textId="77777777" w:rsidR="00055ECD" w:rsidRPr="002512F3" w:rsidRDefault="00055ECD" w:rsidP="001805AE">
            <w:pPr>
              <w:ind w:right="50"/>
              <w:jc w:val="right"/>
              <w:rPr>
                <w:rFonts w:ascii="Arial Narrow" w:hAnsi="Arial Narrow" w:cs="Calibri"/>
                <w:sz w:val="22"/>
                <w:szCs w:val="22"/>
                <w:shd w:val="clear" w:color="auto" w:fill="FFFFFF"/>
                <w:lang w:val="es-CO"/>
              </w:rPr>
            </w:pPr>
            <w:r w:rsidRPr="002512F3">
              <w:rPr>
                <w:rFonts w:ascii="Arial Narrow" w:hAnsi="Arial Narrow" w:cs="Calibri"/>
                <w:sz w:val="22"/>
                <w:szCs w:val="22"/>
                <w:shd w:val="clear" w:color="auto" w:fill="FFFFFF"/>
                <w:lang w:val="es-CO"/>
              </w:rPr>
              <w:t>-</w:t>
            </w:r>
          </w:p>
        </w:tc>
      </w:tr>
      <w:tr w:rsidR="00055ECD" w:rsidRPr="002512F3" w14:paraId="09F954F7"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4392B82E" w14:textId="77777777" w:rsidR="00055ECD" w:rsidRPr="002512F3" w:rsidRDefault="00055ECD" w:rsidP="001805AE">
            <w:pPr>
              <w:ind w:right="50"/>
              <w:rPr>
                <w:rFonts w:ascii="Arial Narrow" w:hAnsi="Arial Narrow" w:cs="Calibri"/>
                <w:b/>
                <w:sz w:val="22"/>
                <w:szCs w:val="22"/>
                <w:shd w:val="clear" w:color="auto" w:fill="FFFFFF"/>
                <w:lang w:val="es-CO"/>
              </w:rPr>
            </w:pPr>
            <w:r w:rsidRPr="002512F3">
              <w:rPr>
                <w:rFonts w:ascii="Arial Narrow" w:hAnsi="Arial Narrow" w:cs="Calibri"/>
                <w:b/>
                <w:sz w:val="22"/>
                <w:szCs w:val="22"/>
                <w:shd w:val="clear" w:color="auto" w:fill="FFFFFF"/>
                <w:lang w:val="es-CO"/>
              </w:rPr>
              <w:t>Vigilancia subjetiva</w:t>
            </w:r>
          </w:p>
        </w:tc>
        <w:tc>
          <w:tcPr>
            <w:tcW w:w="2478" w:type="dxa"/>
            <w:tcBorders>
              <w:top w:val="nil"/>
              <w:left w:val="nil"/>
              <w:bottom w:val="single" w:sz="4" w:space="0" w:color="auto"/>
              <w:right w:val="single" w:sz="4" w:space="0" w:color="auto"/>
            </w:tcBorders>
            <w:shd w:val="clear" w:color="auto" w:fill="auto"/>
            <w:noWrap/>
            <w:vAlign w:val="center"/>
          </w:tcPr>
          <w:p w14:paraId="6EB0A6BB" w14:textId="77777777" w:rsidR="00055ECD" w:rsidRPr="0096556B" w:rsidRDefault="00055ECD" w:rsidP="001805AE">
            <w:pPr>
              <w:ind w:right="50"/>
              <w:jc w:val="right"/>
              <w:rPr>
                <w:rFonts w:ascii="Arial Narrow" w:hAnsi="Arial Narrow" w:cs="Calibri"/>
                <w:b/>
                <w:sz w:val="22"/>
                <w:szCs w:val="22"/>
                <w:shd w:val="clear" w:color="auto" w:fill="FFFFFF"/>
                <w:lang w:val="es-CO"/>
              </w:rPr>
            </w:pPr>
            <w:r w:rsidRPr="0096556B">
              <w:rPr>
                <w:rFonts w:ascii="Arial Narrow" w:hAnsi="Arial Narrow" w:cs="Calibri"/>
                <w:b/>
                <w:sz w:val="22"/>
                <w:szCs w:val="22"/>
                <w:shd w:val="clear" w:color="auto" w:fill="FFFFFF"/>
                <w:lang w:val="es-CO"/>
              </w:rPr>
              <w:t>482.904.983</w:t>
            </w:r>
          </w:p>
        </w:tc>
      </w:tr>
      <w:tr w:rsidR="00055ECD" w:rsidRPr="002512F3" w14:paraId="4F747E4B"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3D3D331D" w14:textId="77777777" w:rsidR="00055ECD" w:rsidRPr="002512F3" w:rsidRDefault="00055ECD" w:rsidP="001805AE">
            <w:pPr>
              <w:ind w:right="50"/>
              <w:rPr>
                <w:rFonts w:ascii="Arial Narrow" w:hAnsi="Arial Narrow" w:cs="Calibri"/>
                <w:bCs/>
                <w:sz w:val="22"/>
                <w:szCs w:val="22"/>
                <w:shd w:val="clear" w:color="auto" w:fill="FFFFFF"/>
                <w:lang w:val="es-CO"/>
              </w:rPr>
            </w:pPr>
            <w:r w:rsidRPr="002512F3">
              <w:rPr>
                <w:rFonts w:ascii="Arial Narrow" w:hAnsi="Arial Narrow" w:cs="Calibri"/>
                <w:bCs/>
                <w:sz w:val="22"/>
                <w:szCs w:val="22"/>
                <w:shd w:val="clear" w:color="auto" w:fill="FFFFFF"/>
                <w:lang w:val="es-CO"/>
              </w:rPr>
              <w:t>Concesiones</w:t>
            </w:r>
          </w:p>
        </w:tc>
        <w:tc>
          <w:tcPr>
            <w:tcW w:w="2478" w:type="dxa"/>
            <w:tcBorders>
              <w:top w:val="nil"/>
              <w:left w:val="nil"/>
              <w:bottom w:val="single" w:sz="4" w:space="0" w:color="auto"/>
              <w:right w:val="single" w:sz="4" w:space="0" w:color="auto"/>
            </w:tcBorders>
            <w:shd w:val="clear" w:color="auto" w:fill="auto"/>
            <w:noWrap/>
            <w:vAlign w:val="center"/>
          </w:tcPr>
          <w:p w14:paraId="6FDEBFE4" w14:textId="77777777" w:rsidR="00055ECD" w:rsidRPr="0096556B" w:rsidRDefault="00055ECD" w:rsidP="001805AE">
            <w:pPr>
              <w:ind w:right="50"/>
              <w:jc w:val="right"/>
              <w:rPr>
                <w:rFonts w:ascii="Arial Narrow" w:hAnsi="Arial Narrow" w:cs="Calibri"/>
                <w:bCs/>
                <w:sz w:val="22"/>
                <w:szCs w:val="22"/>
                <w:shd w:val="clear" w:color="auto" w:fill="FFFFFF"/>
                <w:lang w:val="es-CO"/>
              </w:rPr>
            </w:pPr>
            <w:r w:rsidRPr="0096556B">
              <w:rPr>
                <w:rFonts w:ascii="Arial Narrow" w:hAnsi="Arial Narrow" w:cs="Calibri"/>
                <w:bCs/>
                <w:sz w:val="22"/>
                <w:szCs w:val="22"/>
                <w:shd w:val="clear" w:color="auto" w:fill="FFFFFF"/>
                <w:lang w:val="es-CO"/>
              </w:rPr>
              <w:t>273.</w:t>
            </w:r>
            <w:r>
              <w:rPr>
                <w:rFonts w:ascii="Arial Narrow" w:hAnsi="Arial Narrow" w:cs="Calibri"/>
                <w:bCs/>
                <w:sz w:val="22"/>
                <w:szCs w:val="22"/>
                <w:shd w:val="clear" w:color="auto" w:fill="FFFFFF"/>
                <w:lang w:val="es-CO"/>
              </w:rPr>
              <w:t>852.960</w:t>
            </w:r>
          </w:p>
        </w:tc>
      </w:tr>
      <w:tr w:rsidR="00055ECD" w:rsidRPr="002512F3" w14:paraId="1CAEE112"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431DF5D0" w14:textId="77777777" w:rsidR="00055ECD" w:rsidRPr="002512F3" w:rsidRDefault="00055ECD" w:rsidP="001805AE">
            <w:pPr>
              <w:ind w:right="50"/>
              <w:rPr>
                <w:rFonts w:ascii="Arial Narrow" w:hAnsi="Arial Narrow" w:cs="Calibri"/>
                <w:sz w:val="22"/>
                <w:szCs w:val="22"/>
                <w:shd w:val="clear" w:color="auto" w:fill="FFFFFF"/>
                <w:lang w:val="es-CO"/>
              </w:rPr>
            </w:pPr>
            <w:r w:rsidRPr="002512F3">
              <w:rPr>
                <w:rFonts w:ascii="Arial Narrow" w:hAnsi="Arial Narrow" w:cs="Calibri"/>
                <w:sz w:val="22"/>
                <w:szCs w:val="22"/>
                <w:shd w:val="clear" w:color="auto" w:fill="FFFFFF"/>
                <w:lang w:val="es-CO"/>
              </w:rPr>
              <w:t>Puertos</w:t>
            </w:r>
          </w:p>
        </w:tc>
        <w:tc>
          <w:tcPr>
            <w:tcW w:w="2478" w:type="dxa"/>
            <w:tcBorders>
              <w:top w:val="nil"/>
              <w:left w:val="nil"/>
              <w:bottom w:val="single" w:sz="4" w:space="0" w:color="auto"/>
              <w:right w:val="single" w:sz="4" w:space="0" w:color="auto"/>
            </w:tcBorders>
            <w:shd w:val="clear" w:color="auto" w:fill="auto"/>
            <w:noWrap/>
            <w:vAlign w:val="center"/>
          </w:tcPr>
          <w:p w14:paraId="6F6BFBFC" w14:textId="77777777" w:rsidR="00055ECD" w:rsidRPr="002512F3" w:rsidRDefault="00055ECD" w:rsidP="001805AE">
            <w:pPr>
              <w:ind w:right="50"/>
              <w:jc w:val="right"/>
              <w:rPr>
                <w:rFonts w:ascii="Arial Narrow" w:hAnsi="Arial Narrow" w:cs="Calibri"/>
                <w:sz w:val="22"/>
                <w:szCs w:val="22"/>
                <w:shd w:val="clear" w:color="auto" w:fill="FFFFFF"/>
                <w:lang w:val="es-CO"/>
              </w:rPr>
            </w:pPr>
            <w:r>
              <w:rPr>
                <w:rFonts w:ascii="Arial Narrow" w:hAnsi="Arial Narrow" w:cs="Calibri"/>
                <w:sz w:val="22"/>
                <w:szCs w:val="22"/>
                <w:shd w:val="clear" w:color="auto" w:fill="FFFFFF"/>
                <w:lang w:val="es-CO"/>
              </w:rPr>
              <w:t>2.359.582</w:t>
            </w:r>
          </w:p>
        </w:tc>
      </w:tr>
      <w:tr w:rsidR="00055ECD" w:rsidRPr="002512F3" w14:paraId="0B6A738B"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7BFD2004" w14:textId="77777777" w:rsidR="00055ECD" w:rsidRPr="002512F3" w:rsidRDefault="00055ECD" w:rsidP="001805AE">
            <w:pPr>
              <w:ind w:right="50"/>
              <w:rPr>
                <w:rFonts w:ascii="Arial Narrow" w:hAnsi="Arial Narrow" w:cs="Calibri"/>
                <w:sz w:val="22"/>
                <w:szCs w:val="22"/>
                <w:shd w:val="clear" w:color="auto" w:fill="FFFFFF"/>
                <w:lang w:val="es-CO"/>
              </w:rPr>
            </w:pPr>
            <w:r w:rsidRPr="002512F3">
              <w:rPr>
                <w:rFonts w:ascii="Arial Narrow" w:hAnsi="Arial Narrow" w:cs="Calibri"/>
                <w:sz w:val="22"/>
                <w:szCs w:val="22"/>
                <w:shd w:val="clear" w:color="auto" w:fill="FFFFFF"/>
                <w:lang w:val="es-CO"/>
              </w:rPr>
              <w:t>Tránsito</w:t>
            </w:r>
          </w:p>
        </w:tc>
        <w:tc>
          <w:tcPr>
            <w:tcW w:w="2478" w:type="dxa"/>
            <w:tcBorders>
              <w:top w:val="nil"/>
              <w:left w:val="nil"/>
              <w:bottom w:val="single" w:sz="4" w:space="0" w:color="auto"/>
              <w:right w:val="single" w:sz="4" w:space="0" w:color="auto"/>
            </w:tcBorders>
            <w:shd w:val="clear" w:color="auto" w:fill="auto"/>
            <w:noWrap/>
            <w:vAlign w:val="center"/>
          </w:tcPr>
          <w:p w14:paraId="38C2274C" w14:textId="77777777" w:rsidR="00055ECD" w:rsidRPr="002512F3" w:rsidRDefault="00055ECD" w:rsidP="001805AE">
            <w:pPr>
              <w:ind w:right="50"/>
              <w:jc w:val="right"/>
              <w:rPr>
                <w:rFonts w:ascii="Arial Narrow" w:hAnsi="Arial Narrow" w:cs="Calibri"/>
                <w:sz w:val="22"/>
                <w:szCs w:val="22"/>
                <w:shd w:val="clear" w:color="auto" w:fill="FFFFFF"/>
                <w:lang w:val="es-CO"/>
              </w:rPr>
            </w:pPr>
            <w:r>
              <w:rPr>
                <w:rFonts w:ascii="Arial Narrow" w:hAnsi="Arial Narrow" w:cs="Calibri"/>
                <w:sz w:val="22"/>
                <w:szCs w:val="22"/>
                <w:shd w:val="clear" w:color="auto" w:fill="FFFFFF"/>
                <w:lang w:val="es-CO"/>
              </w:rPr>
              <w:t>206.692.441</w:t>
            </w:r>
          </w:p>
        </w:tc>
      </w:tr>
      <w:tr w:rsidR="00055ECD" w:rsidRPr="002512F3" w14:paraId="13C27BDC"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tcPr>
          <w:p w14:paraId="0DDF4250" w14:textId="77777777" w:rsidR="00055ECD" w:rsidRPr="002512F3" w:rsidRDefault="00055ECD" w:rsidP="001805AE">
            <w:pPr>
              <w:ind w:right="50"/>
              <w:rPr>
                <w:rFonts w:ascii="Arial Narrow" w:hAnsi="Arial Narrow" w:cs="Calibri"/>
                <w:sz w:val="22"/>
                <w:szCs w:val="22"/>
                <w:shd w:val="clear" w:color="auto" w:fill="FFFFFF"/>
                <w:lang w:val="es-CO"/>
              </w:rPr>
            </w:pPr>
            <w:r w:rsidRPr="002512F3">
              <w:rPr>
                <w:rFonts w:ascii="Arial Narrow" w:hAnsi="Arial Narrow" w:cs="Calibri"/>
                <w:sz w:val="22"/>
                <w:szCs w:val="22"/>
                <w:shd w:val="clear" w:color="auto" w:fill="FFFFFF"/>
                <w:lang w:val="es-CO"/>
              </w:rPr>
              <w:t>Protección Usuarios</w:t>
            </w:r>
          </w:p>
        </w:tc>
        <w:tc>
          <w:tcPr>
            <w:tcW w:w="2478" w:type="dxa"/>
            <w:tcBorders>
              <w:top w:val="nil"/>
              <w:left w:val="nil"/>
              <w:bottom w:val="single" w:sz="4" w:space="0" w:color="auto"/>
              <w:right w:val="single" w:sz="4" w:space="0" w:color="auto"/>
            </w:tcBorders>
            <w:shd w:val="clear" w:color="auto" w:fill="auto"/>
            <w:noWrap/>
            <w:vAlign w:val="center"/>
          </w:tcPr>
          <w:p w14:paraId="48FFADFC" w14:textId="77777777" w:rsidR="00055ECD" w:rsidRPr="002512F3" w:rsidRDefault="00055ECD" w:rsidP="001805AE">
            <w:pPr>
              <w:ind w:right="50"/>
              <w:jc w:val="right"/>
              <w:rPr>
                <w:rFonts w:ascii="Arial Narrow" w:hAnsi="Arial Narrow" w:cs="Calibri"/>
                <w:sz w:val="22"/>
                <w:szCs w:val="22"/>
                <w:shd w:val="clear" w:color="auto" w:fill="FFFFFF"/>
                <w:lang w:val="es-CO"/>
              </w:rPr>
            </w:pPr>
            <w:r w:rsidRPr="002512F3">
              <w:rPr>
                <w:rFonts w:ascii="Arial Narrow" w:hAnsi="Arial Narrow" w:cs="Calibri"/>
                <w:sz w:val="22"/>
                <w:szCs w:val="22"/>
                <w:shd w:val="clear" w:color="auto" w:fill="FFFFFF"/>
                <w:lang w:val="es-CO"/>
              </w:rPr>
              <w:t>-</w:t>
            </w:r>
          </w:p>
        </w:tc>
      </w:tr>
      <w:tr w:rsidR="00055ECD" w:rsidRPr="002512F3" w14:paraId="4DD2C256" w14:textId="77777777" w:rsidTr="001805AE">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7165C33" w14:textId="77777777" w:rsidR="00055ECD" w:rsidRPr="002512F3" w:rsidRDefault="00055ECD" w:rsidP="001805AE">
            <w:pPr>
              <w:ind w:right="50"/>
              <w:rPr>
                <w:rFonts w:ascii="Arial Narrow" w:hAnsi="Arial Narrow" w:cs="Calibri"/>
                <w:b/>
                <w:bCs/>
                <w:sz w:val="22"/>
                <w:szCs w:val="22"/>
                <w:shd w:val="clear" w:color="auto" w:fill="FFFFFF"/>
                <w:lang w:val="es-CO"/>
              </w:rPr>
            </w:pPr>
            <w:r w:rsidRPr="002512F3">
              <w:rPr>
                <w:rFonts w:ascii="Arial Narrow" w:hAnsi="Arial Narrow" w:cs="Calibri"/>
                <w:b/>
                <w:bCs/>
                <w:sz w:val="22"/>
                <w:szCs w:val="22"/>
                <w:shd w:val="clear" w:color="auto" w:fill="FFFFFF"/>
                <w:lang w:val="es-CO"/>
              </w:rPr>
              <w:t>α (</w:t>
            </w:r>
            <w:proofErr w:type="spellStart"/>
            <w:r w:rsidRPr="002512F3">
              <w:rPr>
                <w:rFonts w:ascii="Arial Narrow" w:hAnsi="Arial Narrow" w:cs="Calibri"/>
                <w:b/>
                <w:bCs/>
                <w:sz w:val="22"/>
                <w:szCs w:val="22"/>
                <w:shd w:val="clear" w:color="auto" w:fill="FFFFFF"/>
                <w:lang w:val="es-CO"/>
              </w:rPr>
              <w:t>alpha</w:t>
            </w:r>
            <w:proofErr w:type="spellEnd"/>
            <w:r w:rsidRPr="002512F3">
              <w:rPr>
                <w:rFonts w:ascii="Arial Narrow" w:hAnsi="Arial Narrow" w:cs="Calibri"/>
                <w:b/>
                <w:bCs/>
                <w:sz w:val="22"/>
                <w:szCs w:val="22"/>
                <w:shd w:val="clear" w:color="auto" w:fill="FFFFFF"/>
                <w:lang w:val="es-CO"/>
              </w:rPr>
              <w:t>)</w:t>
            </w:r>
          </w:p>
        </w:tc>
        <w:tc>
          <w:tcPr>
            <w:tcW w:w="2478" w:type="dxa"/>
            <w:tcBorders>
              <w:top w:val="nil"/>
              <w:left w:val="nil"/>
              <w:bottom w:val="single" w:sz="4" w:space="0" w:color="auto"/>
              <w:right w:val="single" w:sz="4" w:space="0" w:color="auto"/>
            </w:tcBorders>
            <w:shd w:val="clear" w:color="auto" w:fill="auto"/>
            <w:noWrap/>
            <w:vAlign w:val="center"/>
            <w:hideMark/>
          </w:tcPr>
          <w:p w14:paraId="1FDBC9A0" w14:textId="77777777" w:rsidR="00055ECD" w:rsidRPr="002512F3" w:rsidRDefault="00055ECD" w:rsidP="001805AE">
            <w:pPr>
              <w:ind w:right="50"/>
              <w:jc w:val="right"/>
              <w:rPr>
                <w:rFonts w:ascii="Arial Narrow" w:hAnsi="Arial Narrow" w:cs="Calibri"/>
                <w:b/>
                <w:bCs/>
                <w:sz w:val="22"/>
                <w:szCs w:val="22"/>
                <w:shd w:val="clear" w:color="auto" w:fill="FFFFFF"/>
                <w:lang w:val="es-CO"/>
              </w:rPr>
            </w:pPr>
            <w:r w:rsidRPr="002512F3">
              <w:rPr>
                <w:rFonts w:ascii="Arial Narrow" w:hAnsi="Arial Narrow" w:cs="Calibri"/>
                <w:b/>
                <w:bCs/>
                <w:sz w:val="22"/>
                <w:szCs w:val="22"/>
                <w:shd w:val="clear" w:color="auto" w:fill="FFFFFF"/>
                <w:lang w:val="es-CO"/>
              </w:rPr>
              <w:t>0,42</w:t>
            </w:r>
          </w:p>
        </w:tc>
      </w:tr>
      <w:tr w:rsidR="00055ECD" w:rsidRPr="002512F3" w14:paraId="36C756D4" w14:textId="77777777" w:rsidTr="001805AE">
        <w:trPr>
          <w:trHeight w:val="109"/>
        </w:trPr>
        <w:tc>
          <w:tcPr>
            <w:tcW w:w="55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3476" w14:textId="77777777" w:rsidR="00055ECD" w:rsidRPr="002512F3" w:rsidRDefault="00055ECD" w:rsidP="001805AE">
            <w:pPr>
              <w:ind w:right="50"/>
              <w:rPr>
                <w:rFonts w:ascii="Arial Narrow" w:hAnsi="Arial Narrow" w:cs="Calibri"/>
                <w:sz w:val="22"/>
                <w:szCs w:val="22"/>
                <w:shd w:val="clear" w:color="auto" w:fill="FFFFFF"/>
                <w:lang w:val="es-CO"/>
              </w:rPr>
            </w:pPr>
            <w:r w:rsidRPr="002512F3">
              <w:rPr>
                <w:rFonts w:ascii="Arial Narrow" w:hAnsi="Arial Narrow" w:cs="Calibri"/>
                <w:szCs w:val="22"/>
                <w:shd w:val="clear" w:color="auto" w:fill="FFFFFF"/>
                <w:lang w:val="es-CO"/>
              </w:rPr>
              <w:t>Fuente: Superintendencia de Transporte, Oficina Asesora de Planeación</w:t>
            </w:r>
          </w:p>
        </w:tc>
      </w:tr>
    </w:tbl>
    <w:p w14:paraId="464407D8" w14:textId="77777777" w:rsidR="00437409" w:rsidRPr="002B3EE9" w:rsidRDefault="00437409" w:rsidP="00437409">
      <w:pPr>
        <w:ind w:right="50"/>
        <w:rPr>
          <w:rFonts w:ascii="Arial Narrow" w:hAnsi="Arial Narrow" w:cs="Calibri"/>
          <w:sz w:val="24"/>
          <w:szCs w:val="24"/>
          <w:highlight w:val="yellow"/>
          <w:shd w:val="clear" w:color="auto" w:fill="FFFFFF"/>
        </w:rPr>
      </w:pPr>
    </w:p>
    <w:p w14:paraId="1EC12F76" w14:textId="77777777" w:rsidR="00C6062C" w:rsidRDefault="00C6062C" w:rsidP="00C6062C">
      <w:pPr>
        <w:ind w:right="50"/>
        <w:jc w:val="both"/>
        <w:rPr>
          <w:rFonts w:ascii="Arial Narrow" w:hAnsi="Arial Narrow" w:cs="Calibri"/>
          <w:sz w:val="24"/>
          <w:szCs w:val="24"/>
          <w:shd w:val="clear" w:color="auto" w:fill="FFFFFF"/>
        </w:rPr>
      </w:pPr>
    </w:p>
    <w:p w14:paraId="74467929" w14:textId="26B2778B" w:rsidR="00C6062C" w:rsidRDefault="00C6062C" w:rsidP="00C6062C">
      <w:pPr>
        <w:ind w:right="50"/>
        <w:jc w:val="both"/>
        <w:rPr>
          <w:rFonts w:ascii="Arial Narrow" w:hAnsi="Arial Narrow" w:cs="Calibri"/>
          <w:sz w:val="24"/>
          <w:szCs w:val="24"/>
          <w:shd w:val="clear" w:color="auto" w:fill="FFFFFF"/>
        </w:rPr>
      </w:pPr>
      <w:r w:rsidRPr="00F82A19">
        <w:rPr>
          <w:rFonts w:ascii="Arial Narrow" w:hAnsi="Arial Narrow" w:cs="Calibri"/>
          <w:sz w:val="24"/>
          <w:szCs w:val="24"/>
          <w:shd w:val="clear" w:color="auto" w:fill="FFFFFF"/>
        </w:rPr>
        <w:t xml:space="preserve">Que la fórmula establecida por la Superintendencia de Transporte de conformidad </w:t>
      </w:r>
      <w:r w:rsidR="00783005">
        <w:rPr>
          <w:rFonts w:ascii="Arial Narrow" w:hAnsi="Arial Narrow" w:cs="Calibri"/>
          <w:sz w:val="24"/>
          <w:szCs w:val="24"/>
          <w:shd w:val="clear" w:color="auto" w:fill="FFFFFF"/>
        </w:rPr>
        <w:t>con</w:t>
      </w:r>
      <w:r w:rsidRPr="00F82A19">
        <w:rPr>
          <w:rFonts w:ascii="Arial Narrow" w:hAnsi="Arial Narrow" w:cs="Calibri"/>
          <w:sz w:val="24"/>
          <w:szCs w:val="24"/>
          <w:shd w:val="clear" w:color="auto" w:fill="FFFFFF"/>
        </w:rPr>
        <w:t xml:space="preserve"> la guía metodológica, para calcular </w:t>
      </w:r>
      <w:r>
        <w:rPr>
          <w:rFonts w:ascii="Arial Narrow" w:hAnsi="Arial Narrow" w:cs="Calibri"/>
          <w:sz w:val="24"/>
          <w:szCs w:val="24"/>
          <w:shd w:val="clear" w:color="auto" w:fill="FFFFFF"/>
        </w:rPr>
        <w:t>el valor de las tres tarifas por vigilancia,</w:t>
      </w:r>
      <w:r w:rsidRPr="00F82A19">
        <w:rPr>
          <w:rFonts w:ascii="Arial Narrow" w:hAnsi="Arial Narrow" w:cs="Calibri"/>
          <w:sz w:val="24"/>
          <w:szCs w:val="24"/>
          <w:shd w:val="clear" w:color="auto" w:fill="FFFFFF"/>
        </w:rPr>
        <w:t xml:space="preserve"> es la siguiente:</w:t>
      </w:r>
    </w:p>
    <w:p w14:paraId="4EA31C0B" w14:textId="77777777" w:rsidR="00C6062C" w:rsidRPr="00F82A19" w:rsidRDefault="00C6062C" w:rsidP="00C6062C">
      <w:pPr>
        <w:ind w:right="50"/>
        <w:jc w:val="both"/>
        <w:rPr>
          <w:rFonts w:ascii="Arial Narrow" w:hAnsi="Arial Narrow" w:cs="Calibri"/>
          <w:sz w:val="24"/>
          <w:szCs w:val="24"/>
          <w:shd w:val="clear" w:color="auto" w:fill="FFFFFF"/>
        </w:rPr>
      </w:pPr>
    </w:p>
    <w:p w14:paraId="6277BF77" w14:textId="77777777" w:rsidR="00C6062C" w:rsidRPr="00B37DF5" w:rsidRDefault="00C6062C" w:rsidP="00C6062C">
      <w:pPr>
        <w:ind w:right="424"/>
        <w:jc w:val="both"/>
        <w:rPr>
          <w:rFonts w:ascii="Arial" w:hAnsi="Arial" w:cs="Arial"/>
          <w:szCs w:val="24"/>
        </w:rPr>
      </w:pPr>
    </w:p>
    <w:p w14:paraId="26F92088" w14:textId="77777777" w:rsidR="00C6062C" w:rsidRPr="00C82309" w:rsidRDefault="00C6062C" w:rsidP="00C6062C">
      <w:pPr>
        <w:ind w:right="424"/>
        <w:jc w:val="both"/>
        <w:rPr>
          <w:rFonts w:ascii="Arial" w:eastAsiaTheme="minorEastAsia" w:hAnsi="Arial" w:cs="Arial"/>
          <w:sz w:val="24"/>
          <w:szCs w:val="24"/>
        </w:rPr>
      </w:pPr>
      <m:oMathPara>
        <m:oMath>
          <m:r>
            <w:rPr>
              <w:rFonts w:ascii="Cambria Math" w:hAnsi="Cambria Math" w:cs="Arial"/>
              <w:sz w:val="24"/>
              <w:szCs w:val="24"/>
            </w:rPr>
            <m:t>β</m:t>
          </m:r>
          <m:r>
            <w:rPr>
              <w:rFonts w:ascii="Cambria Math" w:hAnsi="Arial" w:cs="Arial"/>
              <w:sz w:val="24"/>
              <w:szCs w:val="24"/>
            </w:rPr>
            <m:t>=</m:t>
          </m:r>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GF</m:t>
                  </m:r>
                </m:e>
                <m:sub>
                  <m:r>
                    <w:rPr>
                      <w:rFonts w:ascii="Cambria Math" w:hAnsi="Cambria Math" w:cs="Arial"/>
                      <w:sz w:val="24"/>
                      <w:szCs w:val="24"/>
                    </w:rPr>
                    <m:t>t</m:t>
                  </m:r>
                </m:sub>
              </m:sSub>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I</m:t>
                  </m:r>
                </m:e>
                <m:sub>
                  <m:r>
                    <w:rPr>
                      <w:rFonts w:ascii="Cambria Math" w:hAnsi="Cambria Math" w:cs="Arial"/>
                      <w:sz w:val="24"/>
                      <w:szCs w:val="24"/>
                    </w:rPr>
                    <m:t>t</m:t>
                  </m:r>
                </m:sub>
              </m:sSub>
            </m:num>
            <m:den>
              <m:sSub>
                <m:sSubPr>
                  <m:ctrlPr>
                    <w:rPr>
                      <w:rFonts w:ascii="Cambria Math" w:hAnsi="Arial" w:cs="Arial"/>
                      <w:i/>
                      <w:sz w:val="24"/>
                      <w:szCs w:val="24"/>
                    </w:rPr>
                  </m:ctrlPr>
                </m:sSubPr>
                <m:e>
                  <m:r>
                    <w:rPr>
                      <w:rFonts w:ascii="Cambria Math" w:hAnsi="Arial" w:cs="Arial"/>
                      <w:sz w:val="24"/>
                      <w:szCs w:val="24"/>
                    </w:rPr>
                    <m:t>(</m:t>
                  </m:r>
                  <m:r>
                    <w:rPr>
                      <w:rFonts w:ascii="Cambria Math" w:hAnsi="Cambria Math" w:cs="Arial"/>
                      <w:sz w:val="24"/>
                      <w:szCs w:val="24"/>
                    </w:rPr>
                    <m:t>BI</m:t>
                  </m:r>
                </m:e>
                <m:sub>
                  <m:r>
                    <w:rPr>
                      <w:rFonts w:ascii="Cambria Math" w:hAnsi="Cambria Math" w:cs="Arial"/>
                      <w:sz w:val="24"/>
                      <w:szCs w:val="24"/>
                    </w:rPr>
                    <m:t>t-</m:t>
                  </m:r>
                  <m:r>
                    <w:rPr>
                      <w:rFonts w:ascii="Cambria Math" w:hAnsi="Arial" w:cs="Arial"/>
                      <w:sz w:val="24"/>
                      <w:szCs w:val="24"/>
                    </w:rPr>
                    <m:t>1</m:t>
                  </m:r>
                </m:sub>
              </m:sSub>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α</m:t>
                  </m:r>
                  <m:r>
                    <w:rPr>
                      <w:rFonts w:ascii="Cambria Math" w:hAnsi="Arial" w:cs="Arial"/>
                      <w:sz w:val="24"/>
                      <w:szCs w:val="24"/>
                    </w:rPr>
                    <m:t>(</m:t>
                  </m:r>
                  <m:r>
                    <w:rPr>
                      <w:rFonts w:ascii="Cambria Math" w:hAnsi="Cambria Math" w:cs="Arial"/>
                      <w:sz w:val="24"/>
                      <w:szCs w:val="24"/>
                    </w:rPr>
                    <m:t>BS</m:t>
                  </m:r>
                </m:e>
                <m:sub>
                  <m:r>
                    <w:rPr>
                      <w:rFonts w:ascii="Cambria Math" w:hAnsi="Cambria Math" w:cs="Arial"/>
                      <w:sz w:val="24"/>
                      <w:szCs w:val="24"/>
                    </w:rPr>
                    <m:t>t-</m:t>
                  </m:r>
                  <m:r>
                    <w:rPr>
                      <w:rFonts w:ascii="Cambria Math" w:hAnsi="Arial" w:cs="Arial"/>
                      <w:sz w:val="24"/>
                      <w:szCs w:val="24"/>
                    </w:rPr>
                    <m:t>1</m:t>
                  </m:r>
                </m:sub>
              </m:sSub>
              <m:r>
                <w:rPr>
                  <w:rFonts w:ascii="Cambria Math" w:hAnsi="Arial" w:cs="Arial"/>
                  <w:sz w:val="24"/>
                  <w:szCs w:val="24"/>
                </w:rPr>
                <m:t>)+(1</m:t>
              </m:r>
              <m:r>
                <w:rPr>
                  <w:rFonts w:ascii="Cambria Math" w:hAnsi="Arial" w:cs="Arial"/>
                  <w:sz w:val="24"/>
                  <w:szCs w:val="24"/>
                </w:rPr>
                <m:t>-</m:t>
              </m:r>
              <m:r>
                <w:rPr>
                  <w:rFonts w:ascii="Cambria Math" w:hAnsi="Cambria Math" w:cs="Arial"/>
                  <w:sz w:val="24"/>
                  <w:szCs w:val="24"/>
                </w:rPr>
                <m:t>α</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BO</m:t>
                  </m:r>
                </m:e>
                <m:sub>
                  <m:r>
                    <w:rPr>
                      <w:rFonts w:ascii="Cambria Math" w:hAnsi="Cambria Math" w:cs="Arial"/>
                      <w:sz w:val="24"/>
                      <w:szCs w:val="24"/>
                    </w:rPr>
                    <m:t>t-</m:t>
                  </m:r>
                  <m:r>
                    <w:rPr>
                      <w:rFonts w:ascii="Cambria Math" w:hAnsi="Arial" w:cs="Arial"/>
                      <w:sz w:val="24"/>
                      <w:szCs w:val="24"/>
                    </w:rPr>
                    <m:t>1</m:t>
                  </m:r>
                </m:sub>
              </m:sSub>
              <m:r>
                <w:rPr>
                  <w:rFonts w:ascii="Cambria Math" w:hAnsi="Arial" w:cs="Arial"/>
                  <w:sz w:val="24"/>
                  <w:szCs w:val="24"/>
                </w:rPr>
                <m:t>)</m:t>
              </m:r>
            </m:den>
          </m:f>
          <m:r>
            <w:rPr>
              <w:rFonts w:ascii="Cambria Math" w:eastAsiaTheme="minorEastAsia" w:hAnsi="Arial" w:cs="Arial"/>
              <w:sz w:val="24"/>
              <w:szCs w:val="24"/>
            </w:rPr>
            <m:t>≤</m:t>
          </m:r>
          <m:r>
            <w:rPr>
              <w:rFonts w:ascii="Cambria Math" w:eastAsiaTheme="minorEastAsia" w:hAnsi="Arial" w:cs="Arial"/>
              <w:sz w:val="24"/>
              <w:szCs w:val="24"/>
            </w:rPr>
            <m:t>0.2%</m:t>
          </m:r>
        </m:oMath>
      </m:oMathPara>
    </w:p>
    <w:p w14:paraId="3E61D540" w14:textId="77777777" w:rsidR="00C6062C" w:rsidRPr="00C82309" w:rsidRDefault="00C6062C" w:rsidP="00C6062C">
      <w:pPr>
        <w:ind w:right="424"/>
        <w:jc w:val="both"/>
        <w:rPr>
          <w:rFonts w:ascii="Arial" w:eastAsiaTheme="minorEastAsia" w:hAnsi="Arial" w:cs="Arial"/>
          <w:sz w:val="24"/>
          <w:szCs w:val="24"/>
        </w:rPr>
      </w:pPr>
    </w:p>
    <w:p w14:paraId="4A3EDBE8" w14:textId="77777777" w:rsidR="00C6062C" w:rsidRPr="00C82309" w:rsidRDefault="00C6062C" w:rsidP="00C6062C">
      <w:pPr>
        <w:ind w:right="424"/>
        <w:jc w:val="both"/>
        <w:rPr>
          <w:rFonts w:ascii="Arial" w:eastAsiaTheme="minorEastAsia" w:hAnsi="Arial" w:cs="Arial"/>
          <w:sz w:val="24"/>
          <w:szCs w:val="24"/>
        </w:rPr>
      </w:pPr>
      <m:oMathPara>
        <m:oMath>
          <m:r>
            <w:rPr>
              <w:rFonts w:ascii="Cambria Math" w:eastAsiaTheme="minorEastAsia" w:hAnsi="Cambria Math" w:cs="Arial"/>
              <w:sz w:val="24"/>
              <w:szCs w:val="24"/>
            </w:rPr>
            <m:t>TVI</m:t>
          </m:r>
          <m:r>
            <w:rPr>
              <w:rFonts w:ascii="Cambria Math" w:eastAsiaTheme="minorEastAsia" w:hAnsi="Arial" w:cs="Arial"/>
              <w:sz w:val="24"/>
              <w:szCs w:val="24"/>
            </w:rPr>
            <m:t>=</m:t>
          </m:r>
          <m:r>
            <w:rPr>
              <w:rFonts w:ascii="Cambria Math" w:eastAsiaTheme="minorEastAsia" w:hAnsi="Cambria Math" w:cs="Arial"/>
              <w:sz w:val="24"/>
              <w:szCs w:val="24"/>
            </w:rPr>
            <m:t>β</m:t>
          </m:r>
        </m:oMath>
      </m:oMathPara>
    </w:p>
    <w:p w14:paraId="68871D15" w14:textId="77777777" w:rsidR="00C6062C" w:rsidRPr="00C82309" w:rsidRDefault="00C6062C" w:rsidP="00C6062C">
      <w:pPr>
        <w:ind w:right="424"/>
        <w:jc w:val="both"/>
        <w:rPr>
          <w:rFonts w:ascii="Arial" w:eastAsiaTheme="minorEastAsia" w:hAnsi="Arial" w:cs="Arial"/>
          <w:sz w:val="24"/>
          <w:szCs w:val="24"/>
        </w:rPr>
      </w:pPr>
    </w:p>
    <w:p w14:paraId="2273AB9D" w14:textId="77777777" w:rsidR="00C6062C" w:rsidRPr="00C82309" w:rsidRDefault="00C6062C" w:rsidP="00C6062C">
      <w:pPr>
        <w:ind w:right="424"/>
        <w:jc w:val="both"/>
        <w:rPr>
          <w:rFonts w:ascii="Arial" w:eastAsiaTheme="minorEastAsia" w:hAnsi="Arial" w:cs="Arial"/>
          <w:sz w:val="24"/>
          <w:szCs w:val="24"/>
        </w:rPr>
      </w:pPr>
      <m:oMathPara>
        <m:oMath>
          <m:r>
            <w:rPr>
              <w:rFonts w:ascii="Cambria Math" w:eastAsiaTheme="minorEastAsia" w:hAnsi="Cambria Math" w:cs="Arial"/>
              <w:sz w:val="24"/>
              <w:szCs w:val="24"/>
            </w:rPr>
            <m:t>TVS</m:t>
          </m:r>
          <m:r>
            <w:rPr>
              <w:rFonts w:ascii="Cambria Math" w:eastAsiaTheme="minorEastAsia" w:hAnsi="Arial" w:cs="Arial"/>
              <w:sz w:val="24"/>
              <w:szCs w:val="24"/>
            </w:rPr>
            <m:t>=</m:t>
          </m:r>
          <m:r>
            <w:rPr>
              <w:rFonts w:ascii="Cambria Math" w:eastAsiaTheme="minorEastAsia" w:hAnsi="Cambria Math" w:cs="Arial"/>
              <w:sz w:val="24"/>
              <w:szCs w:val="24"/>
            </w:rPr>
            <m:t>∝β</m:t>
          </m:r>
        </m:oMath>
      </m:oMathPara>
    </w:p>
    <w:p w14:paraId="4A8B589D" w14:textId="77777777" w:rsidR="00C6062C" w:rsidRPr="00C82309" w:rsidRDefault="00C6062C" w:rsidP="00C6062C">
      <w:pPr>
        <w:ind w:right="424"/>
        <w:jc w:val="both"/>
        <w:rPr>
          <w:rFonts w:ascii="Arial" w:eastAsiaTheme="minorEastAsia" w:hAnsi="Arial" w:cs="Arial"/>
          <w:sz w:val="24"/>
          <w:szCs w:val="24"/>
        </w:rPr>
      </w:pPr>
    </w:p>
    <w:p w14:paraId="5ED349D0" w14:textId="77777777" w:rsidR="00C6062C" w:rsidRPr="00C82309" w:rsidRDefault="00C6062C" w:rsidP="00C6062C">
      <w:pPr>
        <w:ind w:right="424"/>
        <w:jc w:val="both"/>
        <w:rPr>
          <w:rFonts w:ascii="Arial" w:eastAsiaTheme="minorEastAsia" w:hAnsi="Arial" w:cs="Arial"/>
          <w:sz w:val="24"/>
          <w:szCs w:val="24"/>
        </w:rPr>
      </w:pPr>
      <m:oMathPara>
        <m:oMath>
          <m:r>
            <w:rPr>
              <w:rFonts w:ascii="Cambria Math" w:eastAsiaTheme="minorEastAsia" w:hAnsi="Cambria Math" w:cs="Arial"/>
              <w:sz w:val="24"/>
              <w:szCs w:val="24"/>
            </w:rPr>
            <m:t>TVO</m:t>
          </m:r>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m:t>
          </m:r>
          <m:r>
            <w:rPr>
              <w:rFonts w:ascii="Cambria Math" w:eastAsiaTheme="minorEastAsia" w:hAnsi="Arial" w:cs="Arial"/>
              <w:sz w:val="24"/>
              <w:szCs w:val="24"/>
            </w:rPr>
            <m:t>)</m:t>
          </m:r>
          <m:r>
            <w:rPr>
              <w:rFonts w:ascii="Cambria Math" w:eastAsiaTheme="minorEastAsia" w:hAnsi="Cambria Math" w:cs="Arial"/>
              <w:sz w:val="24"/>
              <w:szCs w:val="24"/>
            </w:rPr>
            <m:t>β</m:t>
          </m:r>
        </m:oMath>
      </m:oMathPara>
    </w:p>
    <w:p w14:paraId="6AC3950A" w14:textId="77777777" w:rsidR="00C6062C" w:rsidRDefault="00C6062C" w:rsidP="00C6062C">
      <w:pPr>
        <w:ind w:right="50"/>
        <w:jc w:val="both"/>
        <w:rPr>
          <w:rFonts w:ascii="Arial Narrow" w:hAnsi="Arial Narrow" w:cs="Calibri"/>
          <w:sz w:val="24"/>
          <w:szCs w:val="24"/>
          <w:shd w:val="clear" w:color="auto" w:fill="FFFFFF"/>
        </w:rPr>
      </w:pPr>
    </w:p>
    <w:p w14:paraId="6C3990B9" w14:textId="77777777" w:rsidR="00C6062C" w:rsidRDefault="00C6062C" w:rsidP="00C6062C">
      <w:pPr>
        <w:ind w:right="50"/>
        <w:rPr>
          <w:rFonts w:ascii="Arial Narrow" w:hAnsi="Arial Narrow" w:cs="Calibri"/>
          <w:sz w:val="24"/>
          <w:szCs w:val="24"/>
          <w:shd w:val="clear" w:color="auto" w:fill="FFFFFF"/>
        </w:rPr>
      </w:pPr>
      <w:r w:rsidRPr="00A02BBE">
        <w:rPr>
          <w:rFonts w:ascii="Arial Narrow" w:hAnsi="Arial Narrow" w:cs="Calibri"/>
          <w:sz w:val="24"/>
          <w:szCs w:val="24"/>
          <w:shd w:val="clear" w:color="auto" w:fill="FFFFFF"/>
        </w:rPr>
        <w:t>Donde:</w:t>
      </w:r>
    </w:p>
    <w:p w14:paraId="7771FF37" w14:textId="77777777" w:rsidR="00C6062C" w:rsidRPr="00A02BBE" w:rsidRDefault="00C6062C" w:rsidP="00C6062C">
      <w:pPr>
        <w:ind w:right="50"/>
        <w:rPr>
          <w:rFonts w:ascii="Arial Narrow" w:hAnsi="Arial Narrow" w:cs="Calibri"/>
          <w:sz w:val="24"/>
          <w:szCs w:val="24"/>
          <w:shd w:val="clear" w:color="auto" w:fill="FFFFFF"/>
        </w:rPr>
      </w:pPr>
    </w:p>
    <w:p w14:paraId="6B58E47A" w14:textId="77777777" w:rsidR="00C6062C" w:rsidRPr="00A02BBE" w:rsidRDefault="00DB4604" w:rsidP="00C6062C">
      <w:pPr>
        <w:ind w:right="50"/>
        <w:jc w:val="both"/>
        <w:rPr>
          <w:rFonts w:ascii="Arial Narrow" w:hAnsi="Arial Narrow" w:cs="Calibri"/>
          <w:i/>
          <w:sz w:val="24"/>
          <w:szCs w:val="24"/>
          <w:shd w:val="clear" w:color="auto" w:fill="FFFFFF"/>
        </w:rPr>
      </w:pPr>
      <m:oMath>
        <m:sSub>
          <m:sSubPr>
            <m:ctrlPr>
              <w:rPr>
                <w:rFonts w:ascii="Cambria Math" w:hAnsi="Cambria Math" w:cs="Calibri"/>
                <w:b/>
                <w:i/>
                <w:sz w:val="24"/>
                <w:szCs w:val="24"/>
                <w:shd w:val="clear" w:color="auto" w:fill="FFFFFF"/>
              </w:rPr>
            </m:ctrlPr>
          </m:sSubPr>
          <m:e>
            <m:r>
              <m:rPr>
                <m:sty m:val="bi"/>
              </m:rPr>
              <w:rPr>
                <w:rFonts w:ascii="Cambria Math" w:hAnsi="Cambria Math" w:cs="Calibri"/>
                <w:sz w:val="24"/>
                <w:szCs w:val="24"/>
                <w:shd w:val="clear" w:color="auto" w:fill="FFFFFF"/>
              </w:rPr>
              <m:t>GF</m:t>
            </m:r>
          </m:e>
          <m:sub>
            <m:r>
              <m:rPr>
                <m:sty m:val="bi"/>
              </m:rPr>
              <w:rPr>
                <w:rFonts w:ascii="Cambria Math" w:hAnsi="Cambria Math" w:cs="Calibri"/>
                <w:sz w:val="24"/>
                <w:szCs w:val="24"/>
                <w:shd w:val="clear" w:color="auto" w:fill="FFFFFF"/>
              </w:rPr>
              <m:t>t</m:t>
            </m:r>
          </m:sub>
        </m:sSub>
      </m:oMath>
      <w:r w:rsidR="00C6062C">
        <w:rPr>
          <w:rFonts w:ascii="Arial Narrow" w:hAnsi="Arial Narrow" w:cs="Calibri"/>
          <w:sz w:val="24"/>
          <w:szCs w:val="24"/>
          <w:shd w:val="clear" w:color="auto" w:fill="FFFFFF"/>
        </w:rPr>
        <w:t>:</w:t>
      </w:r>
      <w:r w:rsidR="00C6062C" w:rsidRPr="00A02BBE">
        <w:rPr>
          <w:rFonts w:ascii="Arial Narrow" w:hAnsi="Arial Narrow" w:cs="Calibri"/>
          <w:sz w:val="24"/>
          <w:szCs w:val="24"/>
          <w:shd w:val="clear" w:color="auto" w:fill="FFFFFF"/>
        </w:rPr>
        <w:t xml:space="preserve"> Son los gastos de funcionamiento de la Superintendencia de Transporte para el año </w:t>
      </w:r>
      <w:r w:rsidR="00C6062C" w:rsidRPr="00A02BBE">
        <w:rPr>
          <w:rFonts w:ascii="Arial Narrow" w:hAnsi="Arial Narrow" w:cs="Calibri"/>
          <w:i/>
          <w:sz w:val="24"/>
          <w:szCs w:val="24"/>
          <w:shd w:val="clear" w:color="auto" w:fill="FFFFFF"/>
        </w:rPr>
        <w:t>t.</w:t>
      </w:r>
    </w:p>
    <w:p w14:paraId="4C421421" w14:textId="77777777" w:rsidR="00C6062C" w:rsidRPr="00A02BBE" w:rsidRDefault="00DB4604" w:rsidP="00C6062C">
      <w:pPr>
        <w:ind w:right="50"/>
        <w:jc w:val="both"/>
        <w:rPr>
          <w:rFonts w:ascii="Arial Narrow" w:hAnsi="Arial Narrow" w:cs="Calibri"/>
          <w:b/>
          <w:sz w:val="24"/>
          <w:szCs w:val="24"/>
          <w:shd w:val="clear" w:color="auto" w:fill="FFFFFF"/>
        </w:rPr>
      </w:pPr>
      <m:oMath>
        <m:sSub>
          <m:sSubPr>
            <m:ctrlPr>
              <w:rPr>
                <w:rFonts w:ascii="Cambria Math" w:hAnsi="Cambria Math" w:cs="Calibri"/>
                <w:b/>
                <w:i/>
                <w:sz w:val="24"/>
                <w:szCs w:val="24"/>
                <w:shd w:val="clear" w:color="auto" w:fill="FFFFFF"/>
              </w:rPr>
            </m:ctrlPr>
          </m:sSubPr>
          <m:e>
            <m:r>
              <m:rPr>
                <m:sty m:val="bi"/>
              </m:rPr>
              <w:rPr>
                <w:rFonts w:ascii="Cambria Math" w:hAnsi="Cambria Math" w:cs="Calibri"/>
                <w:sz w:val="24"/>
                <w:szCs w:val="24"/>
                <w:shd w:val="clear" w:color="auto" w:fill="FFFFFF"/>
              </w:rPr>
              <m:t>I</m:t>
            </m:r>
          </m:e>
          <m:sub>
            <m:r>
              <m:rPr>
                <m:sty m:val="bi"/>
              </m:rPr>
              <w:rPr>
                <w:rFonts w:ascii="Cambria Math" w:hAnsi="Cambria Math" w:cs="Calibri"/>
                <w:sz w:val="24"/>
                <w:szCs w:val="24"/>
                <w:shd w:val="clear" w:color="auto" w:fill="FFFFFF"/>
              </w:rPr>
              <m:t>t</m:t>
            </m:r>
          </m:sub>
        </m:sSub>
      </m:oMath>
      <w:r w:rsidR="00C6062C" w:rsidRPr="00A02BBE">
        <w:rPr>
          <w:rFonts w:ascii="Arial Narrow" w:hAnsi="Arial Narrow" w:cs="Calibri"/>
          <w:sz w:val="24"/>
          <w:szCs w:val="24"/>
          <w:shd w:val="clear" w:color="auto" w:fill="FFFFFF"/>
        </w:rPr>
        <w:t>: Es el monto correspondiente a la inversión de la Superintendencia</w:t>
      </w:r>
      <w:r w:rsidR="00C6062C">
        <w:rPr>
          <w:rFonts w:ascii="Arial Narrow" w:hAnsi="Arial Narrow" w:cs="Calibri"/>
          <w:sz w:val="24"/>
          <w:szCs w:val="24"/>
          <w:shd w:val="clear" w:color="auto" w:fill="FFFFFF"/>
        </w:rPr>
        <w:t xml:space="preserve"> de Transporte</w:t>
      </w:r>
      <w:r w:rsidR="00C6062C" w:rsidRPr="00A02BBE">
        <w:rPr>
          <w:rFonts w:ascii="Arial Narrow" w:hAnsi="Arial Narrow" w:cs="Calibri"/>
          <w:sz w:val="24"/>
          <w:szCs w:val="24"/>
          <w:shd w:val="clear" w:color="auto" w:fill="FFFFFF"/>
        </w:rPr>
        <w:t xml:space="preserve"> en el año </w:t>
      </w:r>
      <w:r w:rsidR="00C6062C" w:rsidRPr="00A02BBE">
        <w:rPr>
          <w:rFonts w:ascii="Arial Narrow" w:hAnsi="Arial Narrow" w:cs="Calibri"/>
          <w:i/>
          <w:sz w:val="24"/>
          <w:szCs w:val="24"/>
          <w:shd w:val="clear" w:color="auto" w:fill="FFFFFF"/>
        </w:rPr>
        <w:t>t</w:t>
      </w:r>
      <w:r w:rsidR="00C6062C">
        <w:rPr>
          <w:rFonts w:ascii="Arial Narrow" w:hAnsi="Arial Narrow" w:cs="Calibri"/>
          <w:sz w:val="24"/>
          <w:szCs w:val="24"/>
          <w:shd w:val="clear" w:color="auto" w:fill="FFFFFF"/>
        </w:rPr>
        <w:t>.</w:t>
      </w:r>
    </w:p>
    <w:p w14:paraId="1E0B20EA" w14:textId="77777777" w:rsidR="00C6062C" w:rsidRPr="00A02BBE" w:rsidRDefault="00DB4604" w:rsidP="00C6062C">
      <w:pPr>
        <w:ind w:right="50"/>
        <w:jc w:val="both"/>
        <w:rPr>
          <w:rFonts w:ascii="Arial Narrow" w:hAnsi="Arial Narrow" w:cs="Calibri"/>
          <w:sz w:val="24"/>
          <w:szCs w:val="24"/>
          <w:shd w:val="clear" w:color="auto" w:fill="FFFFFF"/>
        </w:rPr>
      </w:pPr>
      <m:oMath>
        <m:sSub>
          <m:sSubPr>
            <m:ctrlPr>
              <w:rPr>
                <w:rFonts w:ascii="Cambria Math" w:hAnsi="Cambria Math" w:cs="Calibri"/>
                <w:b/>
                <w:i/>
                <w:sz w:val="24"/>
                <w:szCs w:val="24"/>
                <w:shd w:val="clear" w:color="auto" w:fill="FFFFFF"/>
              </w:rPr>
            </m:ctrlPr>
          </m:sSubPr>
          <m:e>
            <m:r>
              <m:rPr>
                <m:sty m:val="bi"/>
              </m:rPr>
              <w:rPr>
                <w:rFonts w:ascii="Cambria Math" w:hAnsi="Cambria Math" w:cs="Calibri"/>
                <w:sz w:val="24"/>
                <w:szCs w:val="24"/>
                <w:shd w:val="clear" w:color="auto" w:fill="FFFFFF"/>
              </w:rPr>
              <m:t>(BI</m:t>
            </m:r>
          </m:e>
          <m:sub>
            <m:r>
              <m:rPr>
                <m:sty m:val="bi"/>
              </m:rPr>
              <w:rPr>
                <w:rFonts w:ascii="Cambria Math" w:hAnsi="Cambria Math" w:cs="Calibri"/>
                <w:sz w:val="24"/>
                <w:szCs w:val="24"/>
                <w:shd w:val="clear" w:color="auto" w:fill="FFFFFF"/>
              </w:rPr>
              <m:t>t-1</m:t>
            </m:r>
          </m:sub>
        </m:sSub>
        <m:r>
          <m:rPr>
            <m:sty m:val="bi"/>
          </m:rPr>
          <w:rPr>
            <w:rFonts w:ascii="Cambria Math" w:hAnsi="Cambria Math" w:cs="Calibri"/>
            <w:sz w:val="24"/>
            <w:szCs w:val="24"/>
            <w:shd w:val="clear" w:color="auto" w:fill="FFFFFF"/>
          </w:rPr>
          <m:t>)</m:t>
        </m:r>
      </m:oMath>
      <w:r w:rsidR="00C6062C" w:rsidRPr="00A02BBE">
        <w:rPr>
          <w:rFonts w:ascii="Arial Narrow" w:hAnsi="Arial Narrow" w:cs="Calibri"/>
          <w:sz w:val="24"/>
          <w:szCs w:val="24"/>
          <w:shd w:val="clear" w:color="auto" w:fill="FFFFFF"/>
        </w:rPr>
        <w:t>: Son los ingresos brutos derivados de las actividades de transport</w:t>
      </w:r>
      <w:r w:rsidR="00C6062C">
        <w:rPr>
          <w:rFonts w:ascii="Arial Narrow" w:hAnsi="Arial Narrow" w:cs="Calibri"/>
          <w:sz w:val="24"/>
          <w:szCs w:val="24"/>
          <w:shd w:val="clear" w:color="auto" w:fill="FFFFFF"/>
        </w:rPr>
        <w:t xml:space="preserve">e en el año </w:t>
      </w:r>
      <w:r w:rsidR="00C6062C" w:rsidRPr="00A02B9C">
        <w:rPr>
          <w:rFonts w:ascii="Arial Narrow" w:hAnsi="Arial Narrow" w:cs="Calibri"/>
          <w:i/>
          <w:sz w:val="24"/>
          <w:szCs w:val="24"/>
          <w:shd w:val="clear" w:color="auto" w:fill="FFFFFF"/>
        </w:rPr>
        <w:t>t-1</w:t>
      </w:r>
      <w:r w:rsidR="00C6062C">
        <w:rPr>
          <w:rFonts w:ascii="Arial Narrow" w:hAnsi="Arial Narrow" w:cs="Calibri"/>
          <w:sz w:val="24"/>
          <w:szCs w:val="24"/>
          <w:shd w:val="clear" w:color="auto" w:fill="FFFFFF"/>
        </w:rPr>
        <w:t xml:space="preserve"> de los supervisados</w:t>
      </w:r>
      <w:r w:rsidR="00C6062C" w:rsidRPr="00A02BBE">
        <w:rPr>
          <w:rFonts w:ascii="Arial Narrow" w:hAnsi="Arial Narrow" w:cs="Calibri"/>
          <w:sz w:val="24"/>
          <w:szCs w:val="24"/>
          <w:shd w:val="clear" w:color="auto" w:fill="FFFFFF"/>
        </w:rPr>
        <w:t xml:space="preserve"> por la Superintendencia a quienes se les ejerce vigilancia integral.</w:t>
      </w:r>
    </w:p>
    <w:p w14:paraId="2BFA6C34" w14:textId="77777777" w:rsidR="00C6062C" w:rsidRPr="00A02BBE" w:rsidRDefault="00DB4604" w:rsidP="00C6062C">
      <w:pPr>
        <w:ind w:right="50"/>
        <w:jc w:val="both"/>
        <w:rPr>
          <w:rFonts w:ascii="Arial Narrow" w:hAnsi="Arial Narrow" w:cs="Calibri"/>
          <w:sz w:val="24"/>
          <w:szCs w:val="24"/>
          <w:shd w:val="clear" w:color="auto" w:fill="FFFFFF"/>
        </w:rPr>
      </w:pPr>
      <m:oMath>
        <m:sSub>
          <m:sSubPr>
            <m:ctrlPr>
              <w:rPr>
                <w:rFonts w:ascii="Cambria Math" w:hAnsi="Cambria Math" w:cs="Calibri"/>
                <w:b/>
                <w:i/>
                <w:sz w:val="24"/>
                <w:szCs w:val="24"/>
                <w:shd w:val="clear" w:color="auto" w:fill="FFFFFF"/>
              </w:rPr>
            </m:ctrlPr>
          </m:sSubPr>
          <m:e>
            <m:r>
              <m:rPr>
                <m:sty m:val="bi"/>
              </m:rPr>
              <w:rPr>
                <w:rFonts w:ascii="Cambria Math" w:hAnsi="Cambria Math" w:cs="Calibri"/>
                <w:sz w:val="24"/>
                <w:szCs w:val="24"/>
                <w:shd w:val="clear" w:color="auto" w:fill="FFFFFF"/>
              </w:rPr>
              <m:t>(BS</m:t>
            </m:r>
          </m:e>
          <m:sub>
            <m:r>
              <m:rPr>
                <m:sty m:val="bi"/>
              </m:rPr>
              <w:rPr>
                <w:rFonts w:ascii="Cambria Math" w:hAnsi="Cambria Math" w:cs="Calibri"/>
                <w:sz w:val="24"/>
                <w:szCs w:val="24"/>
                <w:shd w:val="clear" w:color="auto" w:fill="FFFFFF"/>
              </w:rPr>
              <m:t>t-1</m:t>
            </m:r>
          </m:sub>
        </m:sSub>
        <m:r>
          <m:rPr>
            <m:sty m:val="bi"/>
          </m:rPr>
          <w:rPr>
            <w:rFonts w:ascii="Cambria Math" w:hAnsi="Cambria Math" w:cs="Calibri"/>
            <w:sz w:val="24"/>
            <w:szCs w:val="24"/>
            <w:shd w:val="clear" w:color="auto" w:fill="FFFFFF"/>
          </w:rPr>
          <m:t>)</m:t>
        </m:r>
      </m:oMath>
      <w:r w:rsidR="00C6062C" w:rsidRPr="00A02BBE">
        <w:rPr>
          <w:rFonts w:ascii="Arial Narrow" w:hAnsi="Arial Narrow" w:cs="Calibri"/>
          <w:sz w:val="24"/>
          <w:szCs w:val="24"/>
          <w:shd w:val="clear" w:color="auto" w:fill="FFFFFF"/>
        </w:rPr>
        <w:t>: Son los ingresos brutos derivados de las actividades de transporte en el año</w:t>
      </w:r>
      <w:r w:rsidR="00C6062C">
        <w:rPr>
          <w:rFonts w:ascii="Arial Narrow" w:hAnsi="Arial Narrow" w:cs="Calibri"/>
          <w:sz w:val="24"/>
          <w:szCs w:val="24"/>
          <w:shd w:val="clear" w:color="auto" w:fill="FFFFFF"/>
        </w:rPr>
        <w:t xml:space="preserve"> </w:t>
      </w:r>
      <w:r w:rsidR="00C6062C" w:rsidRPr="00A02BBE">
        <w:rPr>
          <w:rFonts w:ascii="Arial Narrow" w:hAnsi="Arial Narrow" w:cs="Calibri"/>
          <w:i/>
          <w:sz w:val="24"/>
          <w:szCs w:val="24"/>
          <w:shd w:val="clear" w:color="auto" w:fill="FFFFFF"/>
        </w:rPr>
        <w:t>t</w:t>
      </w:r>
      <w:r w:rsidR="00C6062C">
        <w:rPr>
          <w:rFonts w:ascii="Arial Narrow" w:hAnsi="Arial Narrow" w:cs="Calibri"/>
          <w:sz w:val="24"/>
          <w:szCs w:val="24"/>
          <w:shd w:val="clear" w:color="auto" w:fill="FFFFFF"/>
        </w:rPr>
        <w:t>-1 de los supervisados</w:t>
      </w:r>
      <w:r w:rsidR="00C6062C" w:rsidRPr="00A02BBE">
        <w:rPr>
          <w:rFonts w:ascii="Arial Narrow" w:hAnsi="Arial Narrow" w:cs="Calibri"/>
          <w:sz w:val="24"/>
          <w:szCs w:val="24"/>
          <w:shd w:val="clear" w:color="auto" w:fill="FFFFFF"/>
        </w:rPr>
        <w:t xml:space="preserve"> por la Superintendencia a quienes se les ejerce vigilancia subjetiva.</w:t>
      </w:r>
    </w:p>
    <w:p w14:paraId="4115CD66" w14:textId="77777777" w:rsidR="00C6062C" w:rsidRPr="00A02BBE" w:rsidRDefault="00DB4604" w:rsidP="00C6062C">
      <w:pPr>
        <w:ind w:right="50"/>
        <w:jc w:val="both"/>
        <w:rPr>
          <w:rFonts w:ascii="Arial Narrow" w:hAnsi="Arial Narrow" w:cs="Calibri"/>
          <w:sz w:val="24"/>
          <w:szCs w:val="24"/>
          <w:shd w:val="clear" w:color="auto" w:fill="FFFFFF"/>
        </w:rPr>
      </w:pPr>
      <m:oMath>
        <m:sSub>
          <m:sSubPr>
            <m:ctrlPr>
              <w:rPr>
                <w:rFonts w:ascii="Cambria Math" w:hAnsi="Cambria Math" w:cs="Calibri"/>
                <w:b/>
                <w:i/>
                <w:sz w:val="24"/>
                <w:szCs w:val="24"/>
                <w:shd w:val="clear" w:color="auto" w:fill="FFFFFF"/>
              </w:rPr>
            </m:ctrlPr>
          </m:sSubPr>
          <m:e>
            <m:r>
              <m:rPr>
                <m:sty m:val="bi"/>
              </m:rPr>
              <w:rPr>
                <w:rFonts w:ascii="Cambria Math" w:hAnsi="Cambria Math" w:cs="Calibri"/>
                <w:sz w:val="24"/>
                <w:szCs w:val="24"/>
                <w:shd w:val="clear" w:color="auto" w:fill="FFFFFF"/>
              </w:rPr>
              <m:t>(BO</m:t>
            </m:r>
          </m:e>
          <m:sub>
            <m:r>
              <m:rPr>
                <m:sty m:val="bi"/>
              </m:rPr>
              <w:rPr>
                <w:rFonts w:ascii="Cambria Math" w:hAnsi="Cambria Math" w:cs="Calibri"/>
                <w:sz w:val="24"/>
                <w:szCs w:val="24"/>
                <w:shd w:val="clear" w:color="auto" w:fill="FFFFFF"/>
              </w:rPr>
              <m:t>t-1</m:t>
            </m:r>
          </m:sub>
        </m:sSub>
        <m:r>
          <m:rPr>
            <m:sty m:val="bi"/>
          </m:rPr>
          <w:rPr>
            <w:rFonts w:ascii="Cambria Math" w:hAnsi="Cambria Math" w:cs="Calibri"/>
            <w:sz w:val="24"/>
            <w:szCs w:val="24"/>
            <w:shd w:val="clear" w:color="auto" w:fill="FFFFFF"/>
          </w:rPr>
          <m:t>)</m:t>
        </m:r>
      </m:oMath>
      <w:r w:rsidR="00C6062C" w:rsidRPr="00A02BBE">
        <w:rPr>
          <w:rFonts w:ascii="Arial Narrow" w:hAnsi="Arial Narrow" w:cs="Calibri"/>
          <w:sz w:val="24"/>
          <w:szCs w:val="24"/>
          <w:shd w:val="clear" w:color="auto" w:fill="FFFFFF"/>
        </w:rPr>
        <w:t>: Son los ingresos brutos derivados de las actividades de transporte en el año</w:t>
      </w:r>
      <w:r w:rsidR="00C6062C">
        <w:rPr>
          <w:rFonts w:ascii="Arial Narrow" w:hAnsi="Arial Narrow" w:cs="Calibri"/>
          <w:sz w:val="24"/>
          <w:szCs w:val="24"/>
          <w:shd w:val="clear" w:color="auto" w:fill="FFFFFF"/>
        </w:rPr>
        <w:t xml:space="preserve"> </w:t>
      </w:r>
      <w:r w:rsidR="00C6062C" w:rsidRPr="00A02BBE">
        <w:rPr>
          <w:rFonts w:ascii="Arial Narrow" w:hAnsi="Arial Narrow" w:cs="Calibri"/>
          <w:i/>
          <w:sz w:val="24"/>
          <w:szCs w:val="24"/>
          <w:shd w:val="clear" w:color="auto" w:fill="FFFFFF"/>
        </w:rPr>
        <w:t>t</w:t>
      </w:r>
      <w:r w:rsidR="00C6062C">
        <w:rPr>
          <w:rFonts w:ascii="Arial Narrow" w:hAnsi="Arial Narrow" w:cs="Calibri"/>
          <w:sz w:val="24"/>
          <w:szCs w:val="24"/>
          <w:shd w:val="clear" w:color="auto" w:fill="FFFFFF"/>
        </w:rPr>
        <w:t>-1 de los supervisados</w:t>
      </w:r>
      <w:r w:rsidR="00C6062C" w:rsidRPr="00A02BBE">
        <w:rPr>
          <w:rFonts w:ascii="Arial Narrow" w:hAnsi="Arial Narrow" w:cs="Calibri"/>
          <w:sz w:val="24"/>
          <w:szCs w:val="24"/>
          <w:shd w:val="clear" w:color="auto" w:fill="FFFFFF"/>
        </w:rPr>
        <w:t xml:space="preserve"> por la Superintendencia a quienes se les ejerce vigilancia objetiva.</w:t>
      </w:r>
    </w:p>
    <w:p w14:paraId="7C7598F8" w14:textId="77777777" w:rsidR="00C6062C" w:rsidRPr="00A02BBE" w:rsidRDefault="00DB4604" w:rsidP="00C6062C">
      <w:pPr>
        <w:ind w:right="50"/>
        <w:jc w:val="both"/>
        <w:rPr>
          <w:rFonts w:ascii="Arial Narrow" w:hAnsi="Arial Narrow" w:cs="Calibri"/>
          <w:sz w:val="24"/>
          <w:szCs w:val="24"/>
          <w:shd w:val="clear" w:color="auto" w:fill="FFFFFF"/>
        </w:rPr>
      </w:pPr>
      <m:oMath>
        <m:sSub>
          <m:sSubPr>
            <m:ctrlPr>
              <w:rPr>
                <w:rFonts w:ascii="Cambria Math" w:hAnsi="Cambria Math" w:cs="Calibri"/>
                <w:b/>
                <w:i/>
                <w:sz w:val="24"/>
                <w:szCs w:val="24"/>
                <w:shd w:val="clear" w:color="auto" w:fill="FFFFFF"/>
              </w:rPr>
            </m:ctrlPr>
          </m:sSubPr>
          <m:e>
            <m:r>
              <m:rPr>
                <m:sty m:val="bi"/>
              </m:rPr>
              <w:rPr>
                <w:rFonts w:ascii="Cambria Math" w:hAnsi="Cambria Math" w:cs="Calibri"/>
                <w:sz w:val="24"/>
                <w:szCs w:val="24"/>
                <w:shd w:val="clear" w:color="auto" w:fill="FFFFFF"/>
              </w:rPr>
              <m:t>TVI</m:t>
            </m:r>
          </m:e>
          <m:sub>
            <m:r>
              <m:rPr>
                <m:sty m:val="bi"/>
              </m:rPr>
              <w:rPr>
                <w:rFonts w:ascii="Cambria Math" w:hAnsi="Cambria Math" w:cs="Calibri"/>
                <w:sz w:val="24"/>
                <w:szCs w:val="24"/>
                <w:shd w:val="clear" w:color="auto" w:fill="FFFFFF"/>
              </w:rPr>
              <m:t>t</m:t>
            </m:r>
          </m:sub>
        </m:sSub>
      </m:oMath>
      <w:r w:rsidR="00C6062C" w:rsidRPr="00A02BBE">
        <w:rPr>
          <w:rFonts w:ascii="Arial Narrow" w:hAnsi="Arial Narrow" w:cs="Calibri"/>
          <w:sz w:val="24"/>
          <w:szCs w:val="24"/>
          <w:shd w:val="clear" w:color="auto" w:fill="FFFFFF"/>
        </w:rPr>
        <w:t xml:space="preserve">: Es la </w:t>
      </w:r>
      <w:r w:rsidR="00C6062C">
        <w:rPr>
          <w:rFonts w:ascii="Arial Narrow" w:hAnsi="Arial Narrow" w:cs="Calibri"/>
          <w:sz w:val="24"/>
          <w:szCs w:val="24"/>
          <w:shd w:val="clear" w:color="auto" w:fill="FFFFFF"/>
        </w:rPr>
        <w:t xml:space="preserve">tarifa que por </w:t>
      </w:r>
      <w:r w:rsidR="00C6062C" w:rsidRPr="00A02BBE">
        <w:rPr>
          <w:rFonts w:ascii="Arial Narrow" w:hAnsi="Arial Narrow" w:cs="Calibri"/>
          <w:sz w:val="24"/>
          <w:szCs w:val="24"/>
          <w:shd w:val="clear" w:color="auto" w:fill="FFFFFF"/>
        </w:rPr>
        <w:t>contribución esp</w:t>
      </w:r>
      <w:r w:rsidR="00C6062C">
        <w:rPr>
          <w:rFonts w:ascii="Arial Narrow" w:hAnsi="Arial Narrow" w:cs="Calibri"/>
          <w:sz w:val="24"/>
          <w:szCs w:val="24"/>
          <w:shd w:val="clear" w:color="auto" w:fill="FFFFFF"/>
        </w:rPr>
        <w:t>ecial de vigilancia</w:t>
      </w:r>
      <w:r w:rsidR="00C6062C" w:rsidRPr="00A02BBE">
        <w:rPr>
          <w:rFonts w:ascii="Arial Narrow" w:hAnsi="Arial Narrow" w:cs="Calibri"/>
          <w:sz w:val="24"/>
          <w:szCs w:val="24"/>
          <w:shd w:val="clear" w:color="auto" w:fill="FFFFFF"/>
        </w:rPr>
        <w:t xml:space="preserve"> se </w:t>
      </w:r>
      <w:proofErr w:type="gramStart"/>
      <w:r w:rsidR="00C6062C" w:rsidRPr="00A02BBE">
        <w:rPr>
          <w:rFonts w:ascii="Arial Narrow" w:hAnsi="Arial Narrow" w:cs="Calibri"/>
          <w:sz w:val="24"/>
          <w:szCs w:val="24"/>
          <w:shd w:val="clear" w:color="auto" w:fill="FFFFFF"/>
        </w:rPr>
        <w:t>le</w:t>
      </w:r>
      <w:proofErr w:type="gramEnd"/>
      <w:r w:rsidR="00C6062C" w:rsidRPr="00A02BBE">
        <w:rPr>
          <w:rFonts w:ascii="Arial Narrow" w:hAnsi="Arial Narrow" w:cs="Calibri"/>
          <w:sz w:val="24"/>
          <w:szCs w:val="24"/>
          <w:shd w:val="clear" w:color="auto" w:fill="FFFFFF"/>
        </w:rPr>
        <w:t xml:space="preserve"> aplica a </w:t>
      </w:r>
      <w:r w:rsidR="00C6062C">
        <w:rPr>
          <w:rFonts w:ascii="Arial Narrow" w:hAnsi="Arial Narrow" w:cs="Calibri"/>
          <w:sz w:val="24"/>
          <w:szCs w:val="24"/>
          <w:shd w:val="clear" w:color="auto" w:fill="FFFFFF"/>
        </w:rPr>
        <w:t xml:space="preserve">los ingresos de los vigilados de forma integral. </w:t>
      </w:r>
    </w:p>
    <w:p w14:paraId="467A56E8" w14:textId="77777777" w:rsidR="00C6062C" w:rsidRPr="00A02BBE" w:rsidRDefault="00DB4604" w:rsidP="00C6062C">
      <w:pPr>
        <w:ind w:right="50"/>
        <w:jc w:val="both"/>
        <w:rPr>
          <w:rFonts w:ascii="Arial Narrow" w:hAnsi="Arial Narrow" w:cs="Calibri"/>
          <w:sz w:val="24"/>
          <w:szCs w:val="24"/>
          <w:shd w:val="clear" w:color="auto" w:fill="FFFFFF"/>
        </w:rPr>
      </w:pPr>
      <m:oMath>
        <m:sSub>
          <m:sSubPr>
            <m:ctrlPr>
              <w:rPr>
                <w:rFonts w:ascii="Cambria Math" w:hAnsi="Cambria Math" w:cs="Calibri"/>
                <w:b/>
                <w:i/>
                <w:sz w:val="24"/>
                <w:szCs w:val="24"/>
                <w:shd w:val="clear" w:color="auto" w:fill="FFFFFF"/>
              </w:rPr>
            </m:ctrlPr>
          </m:sSubPr>
          <m:e>
            <m:r>
              <m:rPr>
                <m:sty m:val="bi"/>
              </m:rPr>
              <w:rPr>
                <w:rFonts w:ascii="Cambria Math" w:hAnsi="Cambria Math" w:cs="Calibri"/>
                <w:sz w:val="24"/>
                <w:szCs w:val="24"/>
                <w:shd w:val="clear" w:color="auto" w:fill="FFFFFF"/>
              </w:rPr>
              <m:t>TVS</m:t>
            </m:r>
          </m:e>
          <m:sub>
            <m:r>
              <m:rPr>
                <m:sty m:val="bi"/>
              </m:rPr>
              <w:rPr>
                <w:rFonts w:ascii="Cambria Math" w:hAnsi="Cambria Math" w:cs="Calibri"/>
                <w:sz w:val="24"/>
                <w:szCs w:val="24"/>
                <w:shd w:val="clear" w:color="auto" w:fill="FFFFFF"/>
              </w:rPr>
              <m:t>t</m:t>
            </m:r>
          </m:sub>
        </m:sSub>
      </m:oMath>
      <w:r w:rsidR="00C6062C">
        <w:rPr>
          <w:rFonts w:ascii="Arial Narrow" w:hAnsi="Arial Narrow" w:cs="Calibri"/>
          <w:sz w:val="24"/>
          <w:szCs w:val="24"/>
          <w:shd w:val="clear" w:color="auto" w:fill="FFFFFF"/>
        </w:rPr>
        <w:t xml:space="preserve">: </w:t>
      </w:r>
      <w:r w:rsidR="00C6062C" w:rsidRPr="00A02BBE">
        <w:rPr>
          <w:rFonts w:ascii="Arial Narrow" w:hAnsi="Arial Narrow" w:cs="Calibri"/>
          <w:sz w:val="24"/>
          <w:szCs w:val="24"/>
          <w:shd w:val="clear" w:color="auto" w:fill="FFFFFF"/>
        </w:rPr>
        <w:t xml:space="preserve">Es la </w:t>
      </w:r>
      <w:r w:rsidR="00C6062C">
        <w:rPr>
          <w:rFonts w:ascii="Arial Narrow" w:hAnsi="Arial Narrow" w:cs="Calibri"/>
          <w:sz w:val="24"/>
          <w:szCs w:val="24"/>
          <w:shd w:val="clear" w:color="auto" w:fill="FFFFFF"/>
        </w:rPr>
        <w:t xml:space="preserve">tarifa que por </w:t>
      </w:r>
      <w:r w:rsidR="00C6062C" w:rsidRPr="00A02BBE">
        <w:rPr>
          <w:rFonts w:ascii="Arial Narrow" w:hAnsi="Arial Narrow" w:cs="Calibri"/>
          <w:sz w:val="24"/>
          <w:szCs w:val="24"/>
          <w:shd w:val="clear" w:color="auto" w:fill="FFFFFF"/>
        </w:rPr>
        <w:t>contribución esp</w:t>
      </w:r>
      <w:r w:rsidR="00C6062C">
        <w:rPr>
          <w:rFonts w:ascii="Arial Narrow" w:hAnsi="Arial Narrow" w:cs="Calibri"/>
          <w:sz w:val="24"/>
          <w:szCs w:val="24"/>
          <w:shd w:val="clear" w:color="auto" w:fill="FFFFFF"/>
        </w:rPr>
        <w:t>ecial de vigilancia</w:t>
      </w:r>
      <w:r w:rsidR="00C6062C" w:rsidRPr="00A02BBE">
        <w:rPr>
          <w:rFonts w:ascii="Arial Narrow" w:hAnsi="Arial Narrow" w:cs="Calibri"/>
          <w:sz w:val="24"/>
          <w:szCs w:val="24"/>
          <w:shd w:val="clear" w:color="auto" w:fill="FFFFFF"/>
        </w:rPr>
        <w:t xml:space="preserve"> se </w:t>
      </w:r>
      <w:proofErr w:type="gramStart"/>
      <w:r w:rsidR="00C6062C" w:rsidRPr="00A02BBE">
        <w:rPr>
          <w:rFonts w:ascii="Arial Narrow" w:hAnsi="Arial Narrow" w:cs="Calibri"/>
          <w:sz w:val="24"/>
          <w:szCs w:val="24"/>
          <w:shd w:val="clear" w:color="auto" w:fill="FFFFFF"/>
        </w:rPr>
        <w:t>le</w:t>
      </w:r>
      <w:proofErr w:type="gramEnd"/>
      <w:r w:rsidR="00C6062C" w:rsidRPr="00A02BBE">
        <w:rPr>
          <w:rFonts w:ascii="Arial Narrow" w:hAnsi="Arial Narrow" w:cs="Calibri"/>
          <w:sz w:val="24"/>
          <w:szCs w:val="24"/>
          <w:shd w:val="clear" w:color="auto" w:fill="FFFFFF"/>
        </w:rPr>
        <w:t xml:space="preserve"> aplica a los </w:t>
      </w:r>
      <w:r w:rsidR="00C6062C">
        <w:rPr>
          <w:rFonts w:ascii="Arial Narrow" w:hAnsi="Arial Narrow" w:cs="Calibri"/>
          <w:sz w:val="24"/>
          <w:szCs w:val="24"/>
          <w:shd w:val="clear" w:color="auto" w:fill="FFFFFF"/>
        </w:rPr>
        <w:t xml:space="preserve">ingresos de los </w:t>
      </w:r>
      <w:r w:rsidR="00C6062C" w:rsidRPr="00A02BBE">
        <w:rPr>
          <w:rFonts w:ascii="Arial Narrow" w:hAnsi="Arial Narrow" w:cs="Calibri"/>
          <w:sz w:val="24"/>
          <w:szCs w:val="24"/>
          <w:shd w:val="clear" w:color="auto" w:fill="FFFFFF"/>
        </w:rPr>
        <w:t>vigilados de forma subjetiva</w:t>
      </w:r>
      <w:r w:rsidR="00C6062C">
        <w:rPr>
          <w:rFonts w:ascii="Arial Narrow" w:hAnsi="Arial Narrow" w:cs="Calibri"/>
          <w:sz w:val="24"/>
          <w:szCs w:val="24"/>
          <w:shd w:val="clear" w:color="auto" w:fill="FFFFFF"/>
        </w:rPr>
        <w:t xml:space="preserve">. </w:t>
      </w:r>
      <w:r w:rsidR="00C6062C" w:rsidRPr="00A02BBE">
        <w:rPr>
          <w:rFonts w:ascii="Arial Narrow" w:hAnsi="Arial Narrow" w:cs="Calibri"/>
          <w:sz w:val="24"/>
          <w:szCs w:val="24"/>
          <w:shd w:val="clear" w:color="auto" w:fill="FFFFFF"/>
        </w:rPr>
        <w:t xml:space="preserve"> </w:t>
      </w:r>
    </w:p>
    <w:p w14:paraId="5E64E303" w14:textId="77777777" w:rsidR="00C6062C" w:rsidRPr="00A02BBE" w:rsidRDefault="00DB4604" w:rsidP="00C6062C">
      <w:pPr>
        <w:ind w:right="50"/>
        <w:jc w:val="both"/>
        <w:rPr>
          <w:rFonts w:ascii="Arial Narrow" w:hAnsi="Arial Narrow" w:cs="Calibri"/>
          <w:sz w:val="24"/>
          <w:szCs w:val="24"/>
          <w:shd w:val="clear" w:color="auto" w:fill="FFFFFF"/>
        </w:rPr>
      </w:pPr>
      <m:oMath>
        <m:sSub>
          <m:sSubPr>
            <m:ctrlPr>
              <w:rPr>
                <w:rFonts w:ascii="Cambria Math" w:hAnsi="Cambria Math" w:cs="Calibri"/>
                <w:b/>
                <w:i/>
                <w:sz w:val="24"/>
                <w:szCs w:val="24"/>
                <w:shd w:val="clear" w:color="auto" w:fill="FFFFFF"/>
              </w:rPr>
            </m:ctrlPr>
          </m:sSubPr>
          <m:e>
            <m:r>
              <m:rPr>
                <m:sty m:val="bi"/>
              </m:rPr>
              <w:rPr>
                <w:rFonts w:ascii="Cambria Math" w:hAnsi="Cambria Math" w:cs="Calibri"/>
                <w:sz w:val="24"/>
                <w:szCs w:val="24"/>
                <w:shd w:val="clear" w:color="auto" w:fill="FFFFFF"/>
              </w:rPr>
              <m:t>TVO</m:t>
            </m:r>
          </m:e>
          <m:sub>
            <m:r>
              <m:rPr>
                <m:sty m:val="bi"/>
              </m:rPr>
              <w:rPr>
                <w:rFonts w:ascii="Cambria Math" w:hAnsi="Cambria Math" w:cs="Calibri"/>
                <w:sz w:val="24"/>
                <w:szCs w:val="24"/>
                <w:shd w:val="clear" w:color="auto" w:fill="FFFFFF"/>
              </w:rPr>
              <m:t>t</m:t>
            </m:r>
          </m:sub>
        </m:sSub>
      </m:oMath>
      <w:r w:rsidR="00C6062C" w:rsidRPr="00A02BBE">
        <w:rPr>
          <w:rFonts w:ascii="Arial Narrow" w:hAnsi="Arial Narrow" w:cs="Calibri"/>
          <w:sz w:val="24"/>
          <w:szCs w:val="24"/>
          <w:shd w:val="clear" w:color="auto" w:fill="FFFFFF"/>
        </w:rPr>
        <w:t xml:space="preserve">: Es la </w:t>
      </w:r>
      <w:r w:rsidR="00C6062C">
        <w:rPr>
          <w:rFonts w:ascii="Arial Narrow" w:hAnsi="Arial Narrow" w:cs="Calibri"/>
          <w:sz w:val="24"/>
          <w:szCs w:val="24"/>
          <w:shd w:val="clear" w:color="auto" w:fill="FFFFFF"/>
        </w:rPr>
        <w:t xml:space="preserve">tarifa que por </w:t>
      </w:r>
      <w:r w:rsidR="00C6062C" w:rsidRPr="00A02BBE">
        <w:rPr>
          <w:rFonts w:ascii="Arial Narrow" w:hAnsi="Arial Narrow" w:cs="Calibri"/>
          <w:sz w:val="24"/>
          <w:szCs w:val="24"/>
          <w:shd w:val="clear" w:color="auto" w:fill="FFFFFF"/>
        </w:rPr>
        <w:t>contribución esp</w:t>
      </w:r>
      <w:r w:rsidR="00C6062C">
        <w:rPr>
          <w:rFonts w:ascii="Arial Narrow" w:hAnsi="Arial Narrow" w:cs="Calibri"/>
          <w:sz w:val="24"/>
          <w:szCs w:val="24"/>
          <w:shd w:val="clear" w:color="auto" w:fill="FFFFFF"/>
        </w:rPr>
        <w:t>ecial de vigilancia</w:t>
      </w:r>
      <w:r w:rsidR="00C6062C" w:rsidRPr="00A02BBE">
        <w:rPr>
          <w:rFonts w:ascii="Arial Narrow" w:hAnsi="Arial Narrow" w:cs="Calibri"/>
          <w:sz w:val="24"/>
          <w:szCs w:val="24"/>
          <w:shd w:val="clear" w:color="auto" w:fill="FFFFFF"/>
        </w:rPr>
        <w:t xml:space="preserve"> se </w:t>
      </w:r>
      <w:proofErr w:type="gramStart"/>
      <w:r w:rsidR="00C6062C" w:rsidRPr="00A02BBE">
        <w:rPr>
          <w:rFonts w:ascii="Arial Narrow" w:hAnsi="Arial Narrow" w:cs="Calibri"/>
          <w:sz w:val="24"/>
          <w:szCs w:val="24"/>
          <w:shd w:val="clear" w:color="auto" w:fill="FFFFFF"/>
        </w:rPr>
        <w:t>le</w:t>
      </w:r>
      <w:proofErr w:type="gramEnd"/>
      <w:r w:rsidR="00C6062C" w:rsidRPr="00A02BBE">
        <w:rPr>
          <w:rFonts w:ascii="Arial Narrow" w:hAnsi="Arial Narrow" w:cs="Calibri"/>
          <w:sz w:val="24"/>
          <w:szCs w:val="24"/>
          <w:shd w:val="clear" w:color="auto" w:fill="FFFFFF"/>
        </w:rPr>
        <w:t xml:space="preserve"> aplica a </w:t>
      </w:r>
      <w:r w:rsidR="00C6062C">
        <w:rPr>
          <w:rFonts w:ascii="Arial Narrow" w:hAnsi="Arial Narrow" w:cs="Calibri"/>
          <w:sz w:val="24"/>
          <w:szCs w:val="24"/>
          <w:shd w:val="clear" w:color="auto" w:fill="FFFFFF"/>
        </w:rPr>
        <w:t xml:space="preserve">los ingresos de los vigilados de forma objetiva. </w:t>
      </w:r>
    </w:p>
    <w:p w14:paraId="5F65D709" w14:textId="072082B5" w:rsidR="00C6062C" w:rsidRDefault="00C6062C" w:rsidP="00C6062C">
      <w:pPr>
        <w:ind w:right="50"/>
        <w:jc w:val="both"/>
        <w:rPr>
          <w:rFonts w:ascii="Arial Narrow" w:hAnsi="Arial Narrow" w:cs="Calibri"/>
          <w:sz w:val="24"/>
          <w:szCs w:val="24"/>
          <w:shd w:val="clear" w:color="auto" w:fill="FFFFFF"/>
        </w:rPr>
      </w:pPr>
      <m:oMath>
        <m:r>
          <m:rPr>
            <m:sty m:val="bi"/>
          </m:rPr>
          <w:rPr>
            <w:rFonts w:ascii="Cambria Math" w:hAnsi="Cambria Math" w:cs="Calibri"/>
            <w:sz w:val="24"/>
            <w:szCs w:val="24"/>
            <w:shd w:val="clear" w:color="auto" w:fill="FFFFFF"/>
          </w:rPr>
          <m:t xml:space="preserve">α </m:t>
        </m:r>
        <m:d>
          <m:dPr>
            <m:ctrlPr>
              <w:rPr>
                <w:rFonts w:ascii="Cambria Math" w:hAnsi="Cambria Math" w:cs="Calibri"/>
                <w:b/>
                <w:i/>
                <w:sz w:val="24"/>
                <w:szCs w:val="24"/>
                <w:shd w:val="clear" w:color="auto" w:fill="FFFFFF"/>
              </w:rPr>
            </m:ctrlPr>
          </m:dPr>
          <m:e>
            <m:r>
              <m:rPr>
                <m:sty m:val="bi"/>
              </m:rPr>
              <w:rPr>
                <w:rFonts w:ascii="Cambria Math" w:hAnsi="Cambria Math" w:cs="Calibri"/>
                <w:sz w:val="24"/>
                <w:szCs w:val="24"/>
                <w:shd w:val="clear" w:color="auto" w:fill="FFFFFF"/>
              </w:rPr>
              <m:t>Alpha</m:t>
            </m:r>
          </m:e>
        </m:d>
        <m:r>
          <m:rPr>
            <m:sty m:val="bi"/>
          </m:rPr>
          <w:rPr>
            <w:rFonts w:ascii="Cambria Math" w:hAnsi="Cambria Math" w:cs="Calibri"/>
            <w:sz w:val="24"/>
            <w:szCs w:val="24"/>
            <w:shd w:val="clear" w:color="auto" w:fill="FFFFFF"/>
          </w:rPr>
          <m:t>:</m:t>
        </m:r>
      </m:oMath>
      <w:r w:rsidRPr="00A02BBE">
        <w:rPr>
          <w:rFonts w:ascii="Arial Narrow" w:hAnsi="Arial Narrow" w:cs="Calibri"/>
          <w:sz w:val="24"/>
          <w:szCs w:val="24"/>
          <w:shd w:val="clear" w:color="auto" w:fill="FFFFFF"/>
        </w:rPr>
        <w:t xml:space="preserve"> Es el peso relativo de la vigila</w:t>
      </w:r>
      <w:proofErr w:type="spellStart"/>
      <w:r>
        <w:rPr>
          <w:rFonts w:ascii="Arial Narrow" w:hAnsi="Arial Narrow" w:cs="Calibri"/>
          <w:sz w:val="24"/>
          <w:szCs w:val="24"/>
          <w:shd w:val="clear" w:color="auto" w:fill="FFFFFF"/>
        </w:rPr>
        <w:t>ncia</w:t>
      </w:r>
      <w:proofErr w:type="spellEnd"/>
      <w:r w:rsidRPr="00A02BBE">
        <w:rPr>
          <w:rFonts w:ascii="Arial Narrow" w:hAnsi="Arial Narrow" w:cs="Calibri"/>
          <w:sz w:val="24"/>
          <w:szCs w:val="24"/>
          <w:shd w:val="clear" w:color="auto" w:fill="FFFFFF"/>
        </w:rPr>
        <w:t xml:space="preserve"> subjetiva respecto a la vigilancia integral establecido por la Superintendencia.</w:t>
      </w:r>
    </w:p>
    <w:p w14:paraId="60F75227" w14:textId="77777777" w:rsidR="00437409" w:rsidRPr="00C6062C" w:rsidRDefault="00437409" w:rsidP="00437409">
      <w:pPr>
        <w:ind w:right="50"/>
        <w:rPr>
          <w:rFonts w:ascii="Arial Narrow" w:hAnsi="Arial Narrow" w:cs="Calibri"/>
          <w:sz w:val="24"/>
          <w:szCs w:val="24"/>
          <w:highlight w:val="yellow"/>
          <w:shd w:val="clear" w:color="auto" w:fill="FFFFFF"/>
        </w:rPr>
      </w:pPr>
    </w:p>
    <w:p w14:paraId="2269E2F5" w14:textId="0AA7BC68" w:rsidR="00437409" w:rsidRPr="002B3EE9" w:rsidRDefault="00437409" w:rsidP="000F57D0">
      <w:pPr>
        <w:ind w:right="50"/>
        <w:jc w:val="both"/>
        <w:rPr>
          <w:rFonts w:ascii="Arial Narrow" w:hAnsi="Arial Narrow" w:cs="Calibri"/>
          <w:sz w:val="24"/>
          <w:szCs w:val="24"/>
          <w:highlight w:val="yellow"/>
          <w:shd w:val="clear" w:color="auto" w:fill="FFFFFF"/>
        </w:rPr>
      </w:pPr>
      <w:r w:rsidRPr="00F357AC">
        <w:rPr>
          <w:rFonts w:ascii="Arial Narrow" w:hAnsi="Arial Narrow" w:cs="Calibri"/>
          <w:sz w:val="24"/>
          <w:szCs w:val="24"/>
          <w:shd w:val="clear" w:color="auto" w:fill="FFFFFF"/>
        </w:rPr>
        <w:t>Que una vez aplicada la formula anterior con los valores correspondientes a los gastos de funcionamiento e inversión de la Superi</w:t>
      </w:r>
      <w:r w:rsidR="000A7CDB" w:rsidRPr="00F357AC">
        <w:rPr>
          <w:rFonts w:ascii="Arial Narrow" w:hAnsi="Arial Narrow" w:cs="Calibri"/>
          <w:sz w:val="24"/>
          <w:szCs w:val="24"/>
          <w:shd w:val="clear" w:color="auto" w:fill="FFFFFF"/>
        </w:rPr>
        <w:t>ntendencia para la vigencia 20</w:t>
      </w:r>
      <w:r w:rsidR="002C4CA5" w:rsidRPr="00F357AC">
        <w:rPr>
          <w:rFonts w:ascii="Arial Narrow" w:hAnsi="Arial Narrow" w:cs="Calibri"/>
          <w:sz w:val="24"/>
          <w:szCs w:val="24"/>
          <w:shd w:val="clear" w:color="auto" w:fill="FFFFFF"/>
        </w:rPr>
        <w:t>20</w:t>
      </w:r>
      <w:r w:rsidRPr="00F357AC">
        <w:rPr>
          <w:rFonts w:ascii="Arial Narrow" w:hAnsi="Arial Narrow" w:cs="Calibri"/>
          <w:sz w:val="24"/>
          <w:szCs w:val="24"/>
          <w:shd w:val="clear" w:color="auto" w:fill="FFFFFF"/>
        </w:rPr>
        <w:t xml:space="preserve">, y los ingresos brutos derivados de la actividad de transporte </w:t>
      </w:r>
      <w:r w:rsidR="002C4CA5" w:rsidRPr="00F357AC">
        <w:rPr>
          <w:rFonts w:ascii="Arial Narrow" w:hAnsi="Arial Narrow" w:cs="Calibri"/>
          <w:sz w:val="24"/>
          <w:szCs w:val="24"/>
          <w:shd w:val="clear" w:color="auto" w:fill="FFFFFF"/>
        </w:rPr>
        <w:t xml:space="preserve">para </w:t>
      </w:r>
      <w:r w:rsidR="00BE5C0D">
        <w:rPr>
          <w:rFonts w:ascii="Arial Narrow" w:hAnsi="Arial Narrow" w:cs="Calibri"/>
          <w:sz w:val="24"/>
          <w:szCs w:val="24"/>
          <w:shd w:val="clear" w:color="auto" w:fill="FFFFFF"/>
        </w:rPr>
        <w:t>el año</w:t>
      </w:r>
      <w:r w:rsidR="002C4CA5" w:rsidRPr="00F357AC">
        <w:rPr>
          <w:rFonts w:ascii="Arial Narrow" w:hAnsi="Arial Narrow" w:cs="Calibri"/>
          <w:sz w:val="24"/>
          <w:szCs w:val="24"/>
          <w:shd w:val="clear" w:color="auto" w:fill="FFFFFF"/>
        </w:rPr>
        <w:t xml:space="preserve"> 2019</w:t>
      </w:r>
      <w:r w:rsidRPr="00F357AC">
        <w:rPr>
          <w:rFonts w:ascii="Arial Narrow" w:hAnsi="Arial Narrow" w:cs="Calibri"/>
          <w:sz w:val="24"/>
          <w:szCs w:val="24"/>
          <w:shd w:val="clear" w:color="auto" w:fill="FFFFFF"/>
        </w:rPr>
        <w:t xml:space="preserve"> de los supervisados, el resultado de la tarifa</w:t>
      </w:r>
      <w:r w:rsidR="00BE5C0D">
        <w:rPr>
          <w:rFonts w:ascii="Arial Narrow" w:hAnsi="Arial Narrow" w:cs="Calibri"/>
          <w:sz w:val="24"/>
          <w:szCs w:val="24"/>
          <w:shd w:val="clear" w:color="auto" w:fill="FFFFFF"/>
        </w:rPr>
        <w:t xml:space="preserve"> para la vigilancia integral </w:t>
      </w:r>
      <w:r w:rsidRPr="00F357AC">
        <w:rPr>
          <w:rFonts w:ascii="Arial Narrow" w:hAnsi="Arial Narrow" w:cs="Calibri"/>
          <w:sz w:val="24"/>
          <w:szCs w:val="24"/>
          <w:shd w:val="clear" w:color="auto" w:fill="FFFFFF"/>
        </w:rPr>
        <w:t>es el siguiente:</w:t>
      </w:r>
    </w:p>
    <w:p w14:paraId="53348D18" w14:textId="77777777" w:rsidR="00437409" w:rsidRPr="007F7D86" w:rsidRDefault="00437409" w:rsidP="00437409">
      <w:pPr>
        <w:ind w:right="50"/>
        <w:rPr>
          <w:rFonts w:ascii="Arial Narrow" w:hAnsi="Arial Narrow" w:cs="Calibri"/>
          <w:sz w:val="22"/>
          <w:szCs w:val="22"/>
          <w:shd w:val="clear" w:color="auto" w:fill="FFFFFF"/>
        </w:rPr>
      </w:pPr>
    </w:p>
    <w:p w14:paraId="2215C57C" w14:textId="110519F4" w:rsidR="00437409" w:rsidRPr="00F46B6D" w:rsidRDefault="00714B23" w:rsidP="00437409">
      <w:pPr>
        <w:ind w:right="50"/>
        <w:rPr>
          <w:rFonts w:ascii="Arial Narrow" w:hAnsi="Arial Narrow" w:cs="Calibri"/>
          <w:sz w:val="22"/>
          <w:szCs w:val="24"/>
          <w:highlight w:val="yellow"/>
          <w:shd w:val="clear" w:color="auto" w:fill="FFFFFF"/>
          <w:lang w:val="es-ES"/>
        </w:rPr>
      </w:pPr>
      <m:oMathPara>
        <m:oMath>
          <m:r>
            <w:rPr>
              <w:rFonts w:ascii="Cambria Math" w:hAnsi="Cambria Math" w:cs="Calibri"/>
              <w:szCs w:val="22"/>
              <w:shd w:val="clear" w:color="auto" w:fill="FFFFFF"/>
              <w:lang w:val="es-ES"/>
            </w:rPr>
            <w:lastRenderedPageBreak/>
            <m:t>β</m:t>
          </m:r>
          <m:r>
            <w:rPr>
              <w:rFonts w:ascii="Cambria Math" w:hAnsi="Cambria Math" w:cs="Arial"/>
              <w:szCs w:val="22"/>
            </w:rPr>
            <m:t>=</m:t>
          </m:r>
          <m:f>
            <m:fPr>
              <m:ctrlPr>
                <w:rPr>
                  <w:rFonts w:ascii="Cambria Math" w:hAnsi="Cambria Math" w:cs="Arial"/>
                  <w:i/>
                  <w:szCs w:val="22"/>
                </w:rPr>
              </m:ctrlPr>
            </m:fPr>
            <m:num>
              <m:r>
                <m:rPr>
                  <m:sty m:val="p"/>
                </m:rPr>
                <w:rPr>
                  <w:rFonts w:ascii="Cambria Math" w:hAnsi="Cambria Math" w:cs="Calibri"/>
                  <w:szCs w:val="22"/>
                  <w:shd w:val="clear" w:color="auto" w:fill="FFFFFF"/>
                  <w:lang w:val="es-CO"/>
                </w:rPr>
                <m:t xml:space="preserve">$36,526,000,000 </m:t>
              </m:r>
              <m:r>
                <w:rPr>
                  <w:rFonts w:ascii="Cambria Math" w:hAnsi="Cambria Math" w:cs="Arial"/>
                  <w:szCs w:val="22"/>
                </w:rPr>
                <m:t>+$</m:t>
              </m:r>
              <m:r>
                <m:rPr>
                  <m:sty m:val="p"/>
                </m:rPr>
                <w:rPr>
                  <w:rFonts w:ascii="Cambria Math" w:hAnsi="Cambria Math" w:cs="Calibri"/>
                  <w:szCs w:val="22"/>
                  <w:shd w:val="clear" w:color="auto" w:fill="FFFFFF"/>
                  <w:lang w:val="es-CO"/>
                </w:rPr>
                <m:t xml:space="preserve">15,777,000,000 </m:t>
              </m:r>
            </m:num>
            <m:den>
              <m:r>
                <m:rPr>
                  <m:sty m:val="p"/>
                </m:rPr>
                <w:rPr>
                  <w:rFonts w:ascii="Cambria Math" w:hAnsi="Cambria Math" w:cs="Calibri"/>
                  <w:szCs w:val="22"/>
                  <w:shd w:val="clear" w:color="auto" w:fill="FFFFFF"/>
                  <w:lang w:val="es-CO"/>
                </w:rPr>
                <m:t>($30,542,279,398,826</m:t>
              </m:r>
              <m:r>
                <w:rPr>
                  <w:rFonts w:ascii="Cambria Math" w:hAnsi="Cambria Math" w:cs="Arial"/>
                  <w:szCs w:val="22"/>
                </w:rPr>
                <m:t>)+</m:t>
              </m:r>
              <m:r>
                <m:rPr>
                  <m:sty m:val="p"/>
                </m:rPr>
                <w:rPr>
                  <w:rFonts w:ascii="Cambria Math" w:hAnsi="Cambria Math" w:cs="Calibri"/>
                  <w:szCs w:val="22"/>
                  <w:shd w:val="clear" w:color="auto" w:fill="FFFFFF"/>
                  <w:lang w:val="es-CO"/>
                </w:rPr>
                <m:t>0.42($22,937,573,625,172)</m:t>
              </m:r>
              <m:r>
                <w:rPr>
                  <w:rFonts w:ascii="Cambria Math" w:hAnsi="Cambria Math" w:cs="Arial"/>
                  <w:szCs w:val="22"/>
                </w:rPr>
                <m:t>+(1-0.42)(</m:t>
              </m:r>
              <m:r>
                <m:rPr>
                  <m:sty m:val="p"/>
                </m:rPr>
                <w:rPr>
                  <w:rFonts w:ascii="Cambria Math" w:hAnsi="Cambria Math" w:cs="Calibri"/>
                  <w:szCs w:val="22"/>
                  <w:shd w:val="clear" w:color="auto" w:fill="FFFFFF"/>
                  <w:lang w:val="es-CO"/>
                </w:rPr>
                <m:t>$203,708,695,656</m:t>
              </m:r>
              <m:r>
                <w:rPr>
                  <w:rFonts w:ascii="Cambria Math" w:hAnsi="Cambria Math" w:cs="Arial"/>
                  <w:szCs w:val="22"/>
                </w:rPr>
                <m:t>)</m:t>
              </m:r>
            </m:den>
          </m:f>
          <m:r>
            <w:rPr>
              <w:rFonts w:ascii="Cambria Math" w:eastAsiaTheme="minorEastAsia" w:hAnsi="Cambria Math" w:cs="Arial"/>
              <w:szCs w:val="22"/>
            </w:rPr>
            <m:t>≤0.2%</m:t>
          </m:r>
          <m:r>
            <m:rPr>
              <m:sty m:val="p"/>
            </m:rPr>
            <w:rPr>
              <w:rFonts w:ascii="Cambria Math" w:hAnsi="Cambria Math" w:cs="Calibri"/>
              <w:szCs w:val="22"/>
              <w:highlight w:val="yellow"/>
              <w:shd w:val="clear" w:color="auto" w:fill="FFFFFF"/>
              <w:lang w:val="es-ES"/>
            </w:rPr>
            <w:br/>
          </m:r>
        </m:oMath>
      </m:oMathPara>
    </w:p>
    <w:p w14:paraId="7EF9DDA2" w14:textId="390FCEB4" w:rsidR="00A463B2" w:rsidRDefault="00A463B2" w:rsidP="00437409">
      <w:pPr>
        <w:ind w:right="50"/>
        <w:jc w:val="both"/>
        <w:rPr>
          <w:rFonts w:ascii="Arial Narrow" w:hAnsi="Arial Narrow" w:cs="Calibri"/>
          <w:sz w:val="24"/>
          <w:szCs w:val="24"/>
          <w:shd w:val="clear" w:color="auto" w:fill="FFFFFF"/>
          <w:lang w:val="es-ES"/>
        </w:rPr>
      </w:pPr>
      <m:oMathPara>
        <m:oMath>
          <m:r>
            <w:rPr>
              <w:rFonts w:ascii="Cambria Math" w:hAnsi="Cambria Math" w:cs="Calibri"/>
              <w:szCs w:val="22"/>
              <w:shd w:val="clear" w:color="auto" w:fill="FFFFFF"/>
              <w:lang w:val="es-ES"/>
            </w:rPr>
            <m:t>β</m:t>
          </m:r>
          <m:r>
            <w:rPr>
              <w:rFonts w:ascii="Cambria Math" w:hAnsi="Cambria Math" w:cs="Arial"/>
              <w:szCs w:val="22"/>
            </w:rPr>
            <m:t>=</m:t>
          </m:r>
          <m:r>
            <w:rPr>
              <w:rFonts w:ascii="Cambria Math" w:eastAsiaTheme="minorEastAsia" w:hAnsi="Cambria Math" w:cs="Arial"/>
              <w:szCs w:val="22"/>
            </w:rPr>
            <m:t>0.1298%</m:t>
          </m:r>
          <m:r>
            <m:rPr>
              <m:sty m:val="p"/>
            </m:rPr>
            <w:rPr>
              <w:rFonts w:ascii="Cambria Math" w:hAnsi="Cambria Math" w:cs="Calibri"/>
              <w:szCs w:val="22"/>
              <w:highlight w:val="yellow"/>
              <w:shd w:val="clear" w:color="auto" w:fill="FFFFFF"/>
              <w:lang w:val="es-ES"/>
            </w:rPr>
            <w:br/>
          </m:r>
        </m:oMath>
      </m:oMathPara>
    </w:p>
    <w:p w14:paraId="68334B54" w14:textId="343F645C" w:rsidR="00783005" w:rsidRDefault="00783005" w:rsidP="00437409">
      <w:pPr>
        <w:ind w:right="50"/>
        <w:jc w:val="both"/>
        <w:rPr>
          <w:rFonts w:ascii="Arial Narrow" w:hAnsi="Arial Narrow" w:cs="Calibri"/>
          <w:sz w:val="24"/>
          <w:szCs w:val="24"/>
          <w:shd w:val="clear" w:color="auto" w:fill="FFFFFF"/>
          <w:lang w:val="es-ES"/>
        </w:rPr>
      </w:pPr>
      <w:proofErr w:type="gramStart"/>
      <w:r>
        <w:rPr>
          <w:rFonts w:ascii="Arial Narrow" w:hAnsi="Arial Narrow" w:cs="Calibri"/>
          <w:sz w:val="24"/>
          <w:szCs w:val="24"/>
          <w:shd w:val="clear" w:color="auto" w:fill="FFFFFF"/>
          <w:lang w:val="es-ES"/>
        </w:rPr>
        <w:t>Que</w:t>
      </w:r>
      <w:proofErr w:type="gramEnd"/>
      <w:r>
        <w:rPr>
          <w:rFonts w:ascii="Arial Narrow" w:hAnsi="Arial Narrow" w:cs="Calibri"/>
          <w:sz w:val="24"/>
          <w:szCs w:val="24"/>
          <w:shd w:val="clear" w:color="auto" w:fill="FFFFFF"/>
          <w:lang w:val="es-ES"/>
        </w:rPr>
        <w:t xml:space="preserve"> de acuerdo con lo anterior, el factor </w:t>
      </w:r>
      <w:r w:rsidRPr="007F7D86">
        <w:rPr>
          <w:rFonts w:ascii="Arial Narrow" w:hAnsi="Arial Narrow" w:cs="Calibri"/>
          <w:b/>
          <w:i/>
          <w:sz w:val="24"/>
          <w:szCs w:val="24"/>
          <w:shd w:val="clear" w:color="auto" w:fill="FFFFFF"/>
          <w:lang w:val="es-ES"/>
        </w:rPr>
        <w:t>beta</w:t>
      </w:r>
      <w:r w:rsidRPr="007F7D86">
        <w:rPr>
          <w:rFonts w:ascii="Arial Narrow" w:hAnsi="Arial Narrow" w:cs="Calibri"/>
          <w:b/>
          <w:sz w:val="24"/>
          <w:szCs w:val="24"/>
          <w:shd w:val="clear" w:color="auto" w:fill="FFFFFF"/>
          <w:lang w:val="es-ES"/>
        </w:rPr>
        <w:t xml:space="preserve"> “β”</w:t>
      </w:r>
      <w:r w:rsidRPr="007F7D86">
        <w:rPr>
          <w:rFonts w:ascii="Arial Narrow" w:hAnsi="Arial Narrow" w:cs="Calibri"/>
          <w:sz w:val="24"/>
          <w:szCs w:val="24"/>
          <w:shd w:val="clear" w:color="auto" w:fill="FFFFFF"/>
          <w:lang w:val="es-ES"/>
        </w:rPr>
        <w:t>,</w:t>
      </w:r>
      <w:r>
        <w:rPr>
          <w:rFonts w:ascii="Arial Narrow" w:hAnsi="Arial Narrow" w:cs="Calibri"/>
          <w:sz w:val="24"/>
          <w:szCs w:val="24"/>
          <w:shd w:val="clear" w:color="auto" w:fill="FFFFFF"/>
          <w:lang w:val="es-ES"/>
        </w:rPr>
        <w:t xml:space="preserve"> corresponde a </w:t>
      </w:r>
      <w:r w:rsidR="00714B23" w:rsidRPr="00C74520">
        <w:rPr>
          <w:rFonts w:ascii="Arial Narrow" w:hAnsi="Arial Narrow" w:cs="Calibri"/>
          <w:b/>
          <w:sz w:val="24"/>
          <w:szCs w:val="24"/>
          <w:shd w:val="clear" w:color="auto" w:fill="FFFFFF"/>
        </w:rPr>
        <w:t>0.1298</w:t>
      </w:r>
      <w:r w:rsidR="00714B23">
        <w:rPr>
          <w:rFonts w:ascii="Arial Narrow" w:hAnsi="Arial Narrow" w:cs="Calibri"/>
          <w:b/>
          <w:sz w:val="24"/>
          <w:szCs w:val="24"/>
          <w:shd w:val="clear" w:color="auto" w:fill="FFFFFF"/>
        </w:rPr>
        <w:t>%</w:t>
      </w:r>
      <w:r>
        <w:rPr>
          <w:rFonts w:ascii="Arial Narrow" w:hAnsi="Arial Narrow" w:cs="Calibri"/>
          <w:sz w:val="24"/>
          <w:szCs w:val="24"/>
          <w:shd w:val="clear" w:color="auto" w:fill="FFFFFF"/>
          <w:lang w:val="es-ES"/>
        </w:rPr>
        <w:t>.</w:t>
      </w:r>
    </w:p>
    <w:p w14:paraId="5EE1D91D" w14:textId="77777777" w:rsidR="00783005" w:rsidRDefault="00783005" w:rsidP="00437409">
      <w:pPr>
        <w:ind w:right="50"/>
        <w:jc w:val="both"/>
        <w:rPr>
          <w:rFonts w:ascii="Arial Narrow" w:hAnsi="Arial Narrow" w:cs="Calibri"/>
          <w:sz w:val="24"/>
          <w:szCs w:val="24"/>
          <w:shd w:val="clear" w:color="auto" w:fill="FFFFFF"/>
          <w:lang w:val="es-ES"/>
        </w:rPr>
      </w:pPr>
    </w:p>
    <w:p w14:paraId="3845F1E0" w14:textId="4D0CE689" w:rsidR="00437409" w:rsidRPr="00030904" w:rsidRDefault="00437409" w:rsidP="00437409">
      <w:pPr>
        <w:ind w:right="50"/>
        <w:jc w:val="both"/>
        <w:rPr>
          <w:rFonts w:ascii="Arial Narrow" w:hAnsi="Arial Narrow" w:cs="Calibri"/>
          <w:sz w:val="24"/>
          <w:szCs w:val="24"/>
          <w:shd w:val="clear" w:color="auto" w:fill="FFFFFF"/>
          <w:lang w:val="es-ES"/>
        </w:rPr>
      </w:pPr>
      <w:r w:rsidRPr="007F7D86">
        <w:rPr>
          <w:rFonts w:ascii="Arial Narrow" w:hAnsi="Arial Narrow" w:cs="Calibri"/>
          <w:sz w:val="24"/>
          <w:szCs w:val="24"/>
          <w:shd w:val="clear" w:color="auto" w:fill="FFFFFF"/>
          <w:lang w:val="es-ES"/>
        </w:rPr>
        <w:t xml:space="preserve">Que como consecuencia de lo anterior, habiéndose calculado el factor </w:t>
      </w:r>
      <w:r w:rsidRPr="007F7D86">
        <w:rPr>
          <w:rFonts w:ascii="Arial Narrow" w:hAnsi="Arial Narrow" w:cs="Calibri"/>
          <w:b/>
          <w:i/>
          <w:sz w:val="24"/>
          <w:szCs w:val="24"/>
          <w:shd w:val="clear" w:color="auto" w:fill="FFFFFF"/>
          <w:lang w:val="es-ES"/>
        </w:rPr>
        <w:t>beta</w:t>
      </w:r>
      <w:r w:rsidRPr="007F7D86">
        <w:rPr>
          <w:rFonts w:ascii="Arial Narrow" w:hAnsi="Arial Narrow" w:cs="Calibri"/>
          <w:b/>
          <w:sz w:val="24"/>
          <w:szCs w:val="24"/>
          <w:shd w:val="clear" w:color="auto" w:fill="FFFFFF"/>
          <w:lang w:val="es-ES"/>
        </w:rPr>
        <w:t xml:space="preserve"> “β”</w:t>
      </w:r>
      <w:r w:rsidRPr="007F7D86">
        <w:rPr>
          <w:rFonts w:ascii="Arial Narrow" w:hAnsi="Arial Narrow" w:cs="Calibri"/>
          <w:sz w:val="24"/>
          <w:szCs w:val="24"/>
          <w:shd w:val="clear" w:color="auto" w:fill="FFFFFF"/>
          <w:lang w:val="es-ES"/>
        </w:rPr>
        <w:t xml:space="preserve">, así como el factor </w:t>
      </w:r>
      <w:proofErr w:type="spellStart"/>
      <w:r w:rsidRPr="007F7D86">
        <w:rPr>
          <w:rFonts w:ascii="Arial Narrow" w:hAnsi="Arial Narrow" w:cs="Calibri"/>
          <w:b/>
          <w:i/>
          <w:sz w:val="24"/>
          <w:szCs w:val="24"/>
          <w:shd w:val="clear" w:color="auto" w:fill="FFFFFF"/>
          <w:lang w:val="es-ES"/>
        </w:rPr>
        <w:t>alpha</w:t>
      </w:r>
      <w:proofErr w:type="spellEnd"/>
      <w:r w:rsidRPr="007F7D86">
        <w:rPr>
          <w:rFonts w:ascii="Arial Narrow" w:hAnsi="Arial Narrow" w:cs="Calibri"/>
          <w:sz w:val="24"/>
          <w:szCs w:val="24"/>
          <w:shd w:val="clear" w:color="auto" w:fill="FFFFFF"/>
          <w:lang w:val="es-ES"/>
        </w:rPr>
        <w:t xml:space="preserve"> “</w:t>
      </w:r>
      <m:oMath>
        <m:r>
          <m:rPr>
            <m:sty m:val="bi"/>
          </m:rPr>
          <w:rPr>
            <w:rFonts w:ascii="Cambria Math" w:hAnsi="Cambria Math" w:cs="Calibri"/>
            <w:sz w:val="24"/>
            <w:szCs w:val="24"/>
            <w:shd w:val="clear" w:color="auto" w:fill="FFFFFF"/>
          </w:rPr>
          <m:t>α"</m:t>
        </m:r>
      </m:oMath>
      <w:r w:rsidRPr="007F7D86">
        <w:rPr>
          <w:rFonts w:ascii="Arial Narrow" w:hAnsi="Arial Narrow" w:cs="Calibri"/>
          <w:sz w:val="24"/>
          <w:szCs w:val="24"/>
          <w:shd w:val="clear" w:color="auto" w:fill="FFFFFF"/>
        </w:rPr>
        <w:t xml:space="preserve">, equivalente al peso de la vigilancia subjetiva en la vigilancia integral, </w:t>
      </w:r>
      <w:r w:rsidRPr="007F7D86">
        <w:rPr>
          <w:rFonts w:ascii="Arial Narrow" w:hAnsi="Arial Narrow" w:cs="Calibri"/>
          <w:sz w:val="24"/>
          <w:szCs w:val="24"/>
          <w:shd w:val="clear" w:color="auto" w:fill="FFFFFF"/>
          <w:lang w:val="es-ES"/>
        </w:rPr>
        <w:t>las tarifas diferenciadas para el pago de la contribución especial a favor de la Superintendencia de Transporte</w:t>
      </w:r>
      <w:r w:rsidR="006A7386">
        <w:rPr>
          <w:rFonts w:ascii="Arial Narrow" w:hAnsi="Arial Narrow" w:cs="Calibri"/>
          <w:sz w:val="24"/>
          <w:szCs w:val="24"/>
          <w:shd w:val="clear" w:color="auto" w:fill="FFFFFF"/>
          <w:lang w:val="es-ES"/>
        </w:rPr>
        <w:t xml:space="preserve"> para la vigencia 2020,</w:t>
      </w:r>
      <w:r w:rsidRPr="007F7D86">
        <w:rPr>
          <w:rFonts w:ascii="Arial Narrow" w:hAnsi="Arial Narrow" w:cs="Calibri"/>
          <w:sz w:val="24"/>
          <w:szCs w:val="24"/>
          <w:shd w:val="clear" w:color="auto" w:fill="FFFFFF"/>
          <w:lang w:val="es-ES"/>
        </w:rPr>
        <w:t xml:space="preserve"> según el tipo de supervisión, son la siguientes:</w:t>
      </w:r>
    </w:p>
    <w:p w14:paraId="6E5CF151" w14:textId="77777777" w:rsidR="00437409" w:rsidRPr="00030904" w:rsidRDefault="00437409" w:rsidP="00437409">
      <w:pPr>
        <w:ind w:right="50"/>
        <w:rPr>
          <w:rFonts w:ascii="Arial Narrow" w:hAnsi="Arial Narrow" w:cs="Calibri"/>
          <w:sz w:val="24"/>
          <w:szCs w:val="24"/>
          <w:shd w:val="clear" w:color="auto" w:fill="FFFFFF"/>
          <w:lang w:val="es-ES"/>
        </w:rPr>
      </w:pPr>
    </w:p>
    <w:p w14:paraId="7EA2B38C" w14:textId="651F037A" w:rsidR="00437409" w:rsidRPr="00714B23" w:rsidRDefault="00437409" w:rsidP="007F7D86">
      <w:pPr>
        <w:numPr>
          <w:ilvl w:val="0"/>
          <w:numId w:val="1"/>
        </w:numPr>
        <w:ind w:left="426" w:right="50" w:hanging="284"/>
        <w:jc w:val="both"/>
        <w:rPr>
          <w:rFonts w:ascii="Arial Narrow" w:hAnsi="Arial Narrow" w:cs="Calibri"/>
          <w:sz w:val="24"/>
          <w:szCs w:val="24"/>
          <w:shd w:val="clear" w:color="auto" w:fill="FFFFFF"/>
        </w:rPr>
      </w:pPr>
      <w:r w:rsidRPr="00030904">
        <w:rPr>
          <w:rFonts w:ascii="Arial Narrow" w:hAnsi="Arial Narrow" w:cs="Calibri"/>
          <w:sz w:val="24"/>
          <w:szCs w:val="24"/>
          <w:shd w:val="clear" w:color="auto" w:fill="FFFFFF"/>
        </w:rPr>
        <w:t xml:space="preserve">Para los sujetos a </w:t>
      </w:r>
      <w:r w:rsidRPr="00030904">
        <w:rPr>
          <w:rFonts w:ascii="Arial Narrow" w:hAnsi="Arial Narrow" w:cs="Calibri"/>
          <w:b/>
          <w:sz w:val="24"/>
          <w:szCs w:val="24"/>
          <w:shd w:val="clear" w:color="auto" w:fill="FFFFFF"/>
        </w:rPr>
        <w:t>supervisión</w:t>
      </w:r>
      <w:r w:rsidRPr="00030904">
        <w:rPr>
          <w:rFonts w:ascii="Arial Narrow" w:hAnsi="Arial Narrow" w:cs="Calibri"/>
          <w:sz w:val="24"/>
          <w:szCs w:val="24"/>
          <w:shd w:val="clear" w:color="auto" w:fill="FFFFFF"/>
        </w:rPr>
        <w:t xml:space="preserve"> </w:t>
      </w:r>
      <w:r w:rsidRPr="00030904">
        <w:rPr>
          <w:rFonts w:ascii="Arial Narrow" w:hAnsi="Arial Narrow" w:cs="Calibri"/>
          <w:b/>
          <w:sz w:val="24"/>
          <w:szCs w:val="24"/>
          <w:shd w:val="clear" w:color="auto" w:fill="FFFFFF"/>
        </w:rPr>
        <w:t xml:space="preserve">integral, el </w:t>
      </w:r>
      <w:r w:rsidR="00714B23" w:rsidRPr="00C74520">
        <w:rPr>
          <w:rFonts w:ascii="Arial Narrow" w:hAnsi="Arial Narrow" w:cs="Calibri"/>
          <w:b/>
          <w:sz w:val="24"/>
          <w:szCs w:val="24"/>
          <w:shd w:val="clear" w:color="auto" w:fill="FFFFFF"/>
        </w:rPr>
        <w:t>0</w:t>
      </w:r>
      <w:r w:rsidR="00714B23" w:rsidRPr="00714B23">
        <w:rPr>
          <w:rFonts w:ascii="Arial Narrow" w:hAnsi="Arial Narrow" w:cs="Calibri"/>
          <w:b/>
          <w:sz w:val="24"/>
          <w:szCs w:val="24"/>
          <w:shd w:val="clear" w:color="auto" w:fill="FFFFFF"/>
        </w:rPr>
        <w:t>.1298</w:t>
      </w:r>
      <w:r w:rsidRPr="00714B23">
        <w:rPr>
          <w:rFonts w:ascii="Arial Narrow" w:hAnsi="Arial Narrow" w:cs="Calibri"/>
          <w:b/>
          <w:sz w:val="24"/>
          <w:szCs w:val="24"/>
          <w:shd w:val="clear" w:color="auto" w:fill="FFFFFF"/>
        </w:rPr>
        <w:t>%</w:t>
      </w:r>
      <w:r w:rsidRPr="00714B23">
        <w:rPr>
          <w:rFonts w:ascii="Arial Narrow" w:hAnsi="Arial Narrow" w:cs="Calibri"/>
          <w:sz w:val="24"/>
          <w:szCs w:val="24"/>
          <w:shd w:val="clear" w:color="auto" w:fill="FFFFFF"/>
        </w:rPr>
        <w:t xml:space="preserve"> de los ingresos bruto</w:t>
      </w:r>
      <w:r w:rsidR="00030904" w:rsidRPr="00714B23">
        <w:rPr>
          <w:rFonts w:ascii="Arial Narrow" w:hAnsi="Arial Narrow" w:cs="Calibri"/>
          <w:sz w:val="24"/>
          <w:szCs w:val="24"/>
          <w:shd w:val="clear" w:color="auto" w:fill="FFFFFF"/>
        </w:rPr>
        <w:t>s percibidos en la vigencia 2019</w:t>
      </w:r>
      <w:r w:rsidRPr="00714B23">
        <w:rPr>
          <w:rFonts w:ascii="Arial Narrow" w:hAnsi="Arial Narrow" w:cs="Calibri"/>
          <w:sz w:val="24"/>
          <w:szCs w:val="24"/>
          <w:shd w:val="clear" w:color="auto" w:fill="FFFFFF"/>
        </w:rPr>
        <w:t xml:space="preserve"> derivados de actividades </w:t>
      </w:r>
      <w:r w:rsidR="007F7D86" w:rsidRPr="00714B23">
        <w:rPr>
          <w:rFonts w:ascii="Arial Narrow" w:hAnsi="Arial Narrow" w:cs="Calibri"/>
          <w:sz w:val="24"/>
          <w:szCs w:val="24"/>
          <w:shd w:val="clear" w:color="auto" w:fill="FFFFFF"/>
        </w:rPr>
        <w:t xml:space="preserve">relacionadas con </w:t>
      </w:r>
      <w:r w:rsidRPr="00714B23">
        <w:rPr>
          <w:rFonts w:ascii="Arial Narrow" w:hAnsi="Arial Narrow" w:cs="Calibri"/>
          <w:sz w:val="24"/>
          <w:szCs w:val="24"/>
          <w:shd w:val="clear" w:color="auto" w:fill="FFFFFF"/>
        </w:rPr>
        <w:t>e</w:t>
      </w:r>
      <w:r w:rsidR="007F7D86" w:rsidRPr="00714B23">
        <w:rPr>
          <w:rFonts w:ascii="Arial Narrow" w:hAnsi="Arial Narrow" w:cs="Calibri"/>
          <w:sz w:val="24"/>
          <w:szCs w:val="24"/>
          <w:shd w:val="clear" w:color="auto" w:fill="FFFFFF"/>
        </w:rPr>
        <w:t>l</w:t>
      </w:r>
      <w:r w:rsidRPr="00714B23">
        <w:rPr>
          <w:rFonts w:ascii="Arial Narrow" w:hAnsi="Arial Narrow" w:cs="Calibri"/>
          <w:sz w:val="24"/>
          <w:szCs w:val="24"/>
          <w:shd w:val="clear" w:color="auto" w:fill="FFFFFF"/>
        </w:rPr>
        <w:t xml:space="preserve"> </w:t>
      </w:r>
      <w:r w:rsidR="007F7D86" w:rsidRPr="00714B23">
        <w:rPr>
          <w:rFonts w:ascii="Arial Narrow" w:hAnsi="Arial Narrow" w:cs="Calibri"/>
          <w:sz w:val="24"/>
          <w:szCs w:val="24"/>
          <w:shd w:val="clear" w:color="auto" w:fill="FFFFFF"/>
        </w:rPr>
        <w:t>tránsito, transporte, su infraestructura o sus servicios conexos y complementarios</w:t>
      </w:r>
      <w:r w:rsidRPr="00714B23">
        <w:rPr>
          <w:rFonts w:ascii="Arial Narrow" w:hAnsi="Arial Narrow" w:cs="Calibri"/>
          <w:sz w:val="24"/>
          <w:szCs w:val="24"/>
          <w:shd w:val="clear" w:color="auto" w:fill="FFFFFF"/>
        </w:rPr>
        <w:t>.</w:t>
      </w:r>
    </w:p>
    <w:p w14:paraId="42CEFD44" w14:textId="77777777" w:rsidR="00437409" w:rsidRPr="00030904" w:rsidRDefault="00437409" w:rsidP="00437409">
      <w:pPr>
        <w:ind w:right="50"/>
        <w:jc w:val="both"/>
        <w:rPr>
          <w:rFonts w:ascii="Arial Narrow" w:hAnsi="Arial Narrow" w:cs="Calibri"/>
          <w:sz w:val="24"/>
          <w:szCs w:val="24"/>
          <w:shd w:val="clear" w:color="auto" w:fill="FFFFFF"/>
        </w:rPr>
      </w:pPr>
    </w:p>
    <w:p w14:paraId="3F5F4502" w14:textId="06C0DF2C" w:rsidR="00714B23" w:rsidRPr="00030904" w:rsidRDefault="00714B23" w:rsidP="00714B23">
      <w:pPr>
        <w:numPr>
          <w:ilvl w:val="0"/>
          <w:numId w:val="1"/>
        </w:numPr>
        <w:ind w:left="426" w:right="50" w:hanging="284"/>
        <w:jc w:val="both"/>
        <w:rPr>
          <w:rFonts w:ascii="Arial Narrow" w:hAnsi="Arial Narrow" w:cs="Calibri"/>
          <w:sz w:val="24"/>
          <w:szCs w:val="24"/>
          <w:shd w:val="clear" w:color="auto" w:fill="FFFFFF"/>
        </w:rPr>
      </w:pPr>
      <w:r w:rsidRPr="00030904">
        <w:rPr>
          <w:rFonts w:ascii="Arial Narrow" w:hAnsi="Arial Narrow" w:cs="Calibri"/>
          <w:sz w:val="24"/>
          <w:szCs w:val="24"/>
          <w:shd w:val="clear" w:color="auto" w:fill="FFFFFF"/>
        </w:rPr>
        <w:t xml:space="preserve">Para los sujetos a </w:t>
      </w:r>
      <w:r w:rsidRPr="00030904">
        <w:rPr>
          <w:rFonts w:ascii="Arial Narrow" w:hAnsi="Arial Narrow" w:cs="Calibri"/>
          <w:b/>
          <w:sz w:val="24"/>
          <w:szCs w:val="24"/>
          <w:shd w:val="clear" w:color="auto" w:fill="FFFFFF"/>
        </w:rPr>
        <w:t>supervisión</w:t>
      </w:r>
      <w:r w:rsidRPr="00030904">
        <w:rPr>
          <w:rFonts w:ascii="Arial Narrow" w:hAnsi="Arial Narrow" w:cs="Calibri"/>
          <w:sz w:val="24"/>
          <w:szCs w:val="24"/>
          <w:shd w:val="clear" w:color="auto" w:fill="FFFFFF"/>
        </w:rPr>
        <w:t xml:space="preserve"> </w:t>
      </w:r>
      <w:r w:rsidRPr="00C74520">
        <w:rPr>
          <w:rFonts w:ascii="Arial Narrow" w:hAnsi="Arial Narrow" w:cs="Calibri"/>
          <w:b/>
          <w:sz w:val="24"/>
          <w:szCs w:val="24"/>
          <w:shd w:val="clear" w:color="auto" w:fill="FFFFFF"/>
        </w:rPr>
        <w:t>objetiva</w:t>
      </w:r>
      <w:r w:rsidRPr="00C74520">
        <w:rPr>
          <w:rFonts w:ascii="Arial Narrow" w:hAnsi="Arial Narrow" w:cs="Calibri"/>
          <w:sz w:val="24"/>
          <w:szCs w:val="24"/>
          <w:shd w:val="clear" w:color="auto" w:fill="FFFFFF"/>
        </w:rPr>
        <w:t xml:space="preserve">, el </w:t>
      </w:r>
      <w:r w:rsidRPr="00C74520">
        <w:rPr>
          <w:rFonts w:ascii="Arial Narrow" w:hAnsi="Arial Narrow" w:cs="Calibri"/>
          <w:b/>
          <w:sz w:val="24"/>
          <w:szCs w:val="24"/>
          <w:shd w:val="clear" w:color="auto" w:fill="FFFFFF"/>
        </w:rPr>
        <w:t>0.</w:t>
      </w:r>
      <w:r>
        <w:rPr>
          <w:rFonts w:ascii="Arial Narrow" w:hAnsi="Arial Narrow" w:cs="Calibri"/>
          <w:b/>
          <w:sz w:val="24"/>
          <w:szCs w:val="24"/>
          <w:shd w:val="clear" w:color="auto" w:fill="FFFFFF"/>
        </w:rPr>
        <w:t>0</w:t>
      </w:r>
      <w:r w:rsidR="007B1D75">
        <w:rPr>
          <w:rFonts w:ascii="Arial Narrow" w:hAnsi="Arial Narrow" w:cs="Calibri"/>
          <w:b/>
          <w:sz w:val="24"/>
          <w:szCs w:val="24"/>
          <w:shd w:val="clear" w:color="auto" w:fill="FFFFFF"/>
        </w:rPr>
        <w:t>753</w:t>
      </w:r>
      <w:r w:rsidRPr="00C74520">
        <w:rPr>
          <w:rFonts w:ascii="Arial Narrow" w:hAnsi="Arial Narrow" w:cs="Calibri"/>
          <w:b/>
          <w:sz w:val="24"/>
          <w:szCs w:val="24"/>
          <w:shd w:val="clear" w:color="auto" w:fill="FFFFFF"/>
        </w:rPr>
        <w:t xml:space="preserve">% </w:t>
      </w:r>
      <w:r w:rsidRPr="00C74520">
        <w:rPr>
          <w:rFonts w:ascii="Arial Narrow" w:hAnsi="Arial Narrow" w:cs="Calibri"/>
          <w:sz w:val="24"/>
          <w:szCs w:val="24"/>
          <w:shd w:val="clear" w:color="auto" w:fill="FFFFFF"/>
        </w:rPr>
        <w:t>de los ingresos brutos percibidos en la vigencia 2019 derivados de actividades relacionadas con el tránsito</w:t>
      </w:r>
      <w:r w:rsidRPr="007F7D86">
        <w:rPr>
          <w:rFonts w:ascii="Arial Narrow" w:hAnsi="Arial Narrow" w:cs="Calibri"/>
          <w:sz w:val="24"/>
          <w:szCs w:val="24"/>
          <w:shd w:val="clear" w:color="auto" w:fill="FFFFFF"/>
        </w:rPr>
        <w:t>, transporte, su infraestructura o sus servicios conexos y complementarios</w:t>
      </w:r>
      <w:r w:rsidRPr="00030904">
        <w:rPr>
          <w:rFonts w:ascii="Arial Narrow" w:hAnsi="Arial Narrow" w:cs="Calibri"/>
          <w:sz w:val="24"/>
          <w:szCs w:val="24"/>
          <w:shd w:val="clear" w:color="auto" w:fill="FFFFFF"/>
        </w:rPr>
        <w:t>.</w:t>
      </w:r>
    </w:p>
    <w:p w14:paraId="44E72B34" w14:textId="77777777" w:rsidR="00714B23" w:rsidRPr="00030904" w:rsidRDefault="00714B23" w:rsidP="00714B23">
      <w:pPr>
        <w:ind w:right="50"/>
        <w:jc w:val="both"/>
        <w:rPr>
          <w:rFonts w:ascii="Arial Narrow" w:hAnsi="Arial Narrow" w:cs="Calibri"/>
          <w:sz w:val="24"/>
          <w:szCs w:val="24"/>
          <w:shd w:val="clear" w:color="auto" w:fill="FFFFFF"/>
        </w:rPr>
      </w:pPr>
    </w:p>
    <w:p w14:paraId="73713CAF" w14:textId="5EB434CD" w:rsidR="00714B23" w:rsidRPr="00030904" w:rsidRDefault="00714B23" w:rsidP="00714B23">
      <w:pPr>
        <w:numPr>
          <w:ilvl w:val="0"/>
          <w:numId w:val="1"/>
        </w:numPr>
        <w:ind w:left="426" w:right="50" w:hanging="284"/>
        <w:jc w:val="both"/>
        <w:rPr>
          <w:rFonts w:ascii="Arial Narrow" w:hAnsi="Arial Narrow" w:cs="Calibri"/>
          <w:sz w:val="24"/>
          <w:szCs w:val="24"/>
          <w:shd w:val="clear" w:color="auto" w:fill="FFFFFF"/>
        </w:rPr>
      </w:pPr>
      <w:r w:rsidRPr="00030904">
        <w:rPr>
          <w:rFonts w:ascii="Arial Narrow" w:hAnsi="Arial Narrow" w:cs="Calibri"/>
          <w:sz w:val="24"/>
          <w:szCs w:val="24"/>
          <w:shd w:val="clear" w:color="auto" w:fill="FFFFFF"/>
        </w:rPr>
        <w:t xml:space="preserve">Para los sujetos a </w:t>
      </w:r>
      <w:r w:rsidRPr="00030904">
        <w:rPr>
          <w:rFonts w:ascii="Arial Narrow" w:hAnsi="Arial Narrow" w:cs="Calibri"/>
          <w:b/>
          <w:sz w:val="24"/>
          <w:szCs w:val="24"/>
          <w:shd w:val="clear" w:color="auto" w:fill="FFFFFF"/>
        </w:rPr>
        <w:t>supervisión</w:t>
      </w:r>
      <w:r w:rsidRPr="00030904">
        <w:rPr>
          <w:rFonts w:ascii="Arial Narrow" w:hAnsi="Arial Narrow" w:cs="Calibri"/>
          <w:sz w:val="24"/>
          <w:szCs w:val="24"/>
          <w:shd w:val="clear" w:color="auto" w:fill="FFFFFF"/>
        </w:rPr>
        <w:t xml:space="preserve"> </w:t>
      </w:r>
      <w:r w:rsidRPr="00030904">
        <w:rPr>
          <w:rFonts w:ascii="Arial Narrow" w:hAnsi="Arial Narrow" w:cs="Calibri"/>
          <w:b/>
          <w:sz w:val="24"/>
          <w:szCs w:val="24"/>
          <w:shd w:val="clear" w:color="auto" w:fill="FFFFFF"/>
        </w:rPr>
        <w:t>subjetiva</w:t>
      </w:r>
      <w:r w:rsidRPr="00C74520">
        <w:rPr>
          <w:rFonts w:ascii="Arial Narrow" w:hAnsi="Arial Narrow" w:cs="Calibri"/>
          <w:sz w:val="24"/>
          <w:szCs w:val="24"/>
          <w:shd w:val="clear" w:color="auto" w:fill="FFFFFF"/>
        </w:rPr>
        <w:t xml:space="preserve">, el </w:t>
      </w:r>
      <w:r w:rsidRPr="00C74520">
        <w:rPr>
          <w:rFonts w:ascii="Arial Narrow" w:hAnsi="Arial Narrow" w:cs="Calibri"/>
          <w:b/>
          <w:sz w:val="24"/>
          <w:szCs w:val="24"/>
          <w:shd w:val="clear" w:color="auto" w:fill="FFFFFF"/>
        </w:rPr>
        <w:t>0.0</w:t>
      </w:r>
      <w:r w:rsidR="007B1D75">
        <w:rPr>
          <w:rFonts w:ascii="Arial Narrow" w:hAnsi="Arial Narrow" w:cs="Calibri"/>
          <w:b/>
          <w:sz w:val="24"/>
          <w:szCs w:val="24"/>
          <w:shd w:val="clear" w:color="auto" w:fill="FFFFFF"/>
        </w:rPr>
        <w:t>545</w:t>
      </w:r>
      <w:r w:rsidRPr="00C74520">
        <w:rPr>
          <w:rFonts w:ascii="Arial Narrow" w:hAnsi="Arial Narrow" w:cs="Calibri"/>
          <w:b/>
          <w:sz w:val="24"/>
          <w:szCs w:val="24"/>
          <w:shd w:val="clear" w:color="auto" w:fill="FFFFFF"/>
        </w:rPr>
        <w:t xml:space="preserve">% </w:t>
      </w:r>
      <w:r w:rsidRPr="00030904">
        <w:rPr>
          <w:rFonts w:ascii="Arial Narrow" w:hAnsi="Arial Narrow" w:cs="Calibri"/>
          <w:sz w:val="24"/>
          <w:szCs w:val="24"/>
          <w:shd w:val="clear" w:color="auto" w:fill="FFFFFF"/>
        </w:rPr>
        <w:t>de los ingresos bruto</w:t>
      </w:r>
      <w:r>
        <w:rPr>
          <w:rFonts w:ascii="Arial Narrow" w:hAnsi="Arial Narrow" w:cs="Calibri"/>
          <w:sz w:val="24"/>
          <w:szCs w:val="24"/>
          <w:shd w:val="clear" w:color="auto" w:fill="FFFFFF"/>
        </w:rPr>
        <w:t>s percibidos en la vigencia 2019</w:t>
      </w:r>
      <w:r w:rsidRPr="00030904">
        <w:rPr>
          <w:rFonts w:ascii="Arial Narrow" w:hAnsi="Arial Narrow" w:cs="Calibri"/>
          <w:sz w:val="24"/>
          <w:szCs w:val="24"/>
          <w:shd w:val="clear" w:color="auto" w:fill="FFFFFF"/>
        </w:rPr>
        <w:t xml:space="preserve"> derivados de actividades </w:t>
      </w:r>
      <w:r>
        <w:rPr>
          <w:rFonts w:ascii="Arial Narrow" w:hAnsi="Arial Narrow" w:cs="Calibri"/>
          <w:sz w:val="24"/>
          <w:szCs w:val="24"/>
          <w:shd w:val="clear" w:color="auto" w:fill="FFFFFF"/>
        </w:rPr>
        <w:t xml:space="preserve">relacionadas con </w:t>
      </w:r>
      <w:r w:rsidRPr="00030904">
        <w:rPr>
          <w:rFonts w:ascii="Arial Narrow" w:hAnsi="Arial Narrow" w:cs="Calibri"/>
          <w:sz w:val="24"/>
          <w:szCs w:val="24"/>
          <w:shd w:val="clear" w:color="auto" w:fill="FFFFFF"/>
        </w:rPr>
        <w:t>e</w:t>
      </w:r>
      <w:r>
        <w:rPr>
          <w:rFonts w:ascii="Arial Narrow" w:hAnsi="Arial Narrow" w:cs="Calibri"/>
          <w:sz w:val="24"/>
          <w:szCs w:val="24"/>
          <w:shd w:val="clear" w:color="auto" w:fill="FFFFFF"/>
        </w:rPr>
        <w:t>l</w:t>
      </w:r>
      <w:r w:rsidRPr="00030904">
        <w:rPr>
          <w:rFonts w:ascii="Arial Narrow" w:hAnsi="Arial Narrow" w:cs="Calibri"/>
          <w:sz w:val="24"/>
          <w:szCs w:val="24"/>
          <w:shd w:val="clear" w:color="auto" w:fill="FFFFFF"/>
        </w:rPr>
        <w:t xml:space="preserve"> </w:t>
      </w:r>
      <w:r w:rsidRPr="007F7D86">
        <w:rPr>
          <w:rFonts w:ascii="Arial Narrow" w:hAnsi="Arial Narrow" w:cs="Calibri"/>
          <w:sz w:val="24"/>
          <w:szCs w:val="24"/>
          <w:shd w:val="clear" w:color="auto" w:fill="FFFFFF"/>
        </w:rPr>
        <w:t>tránsito, transporte, su infraestructura o sus servicios conexos y complementarios</w:t>
      </w:r>
      <w:r w:rsidRPr="00030904">
        <w:rPr>
          <w:rFonts w:ascii="Arial Narrow" w:hAnsi="Arial Narrow" w:cs="Calibri"/>
          <w:sz w:val="24"/>
          <w:szCs w:val="24"/>
          <w:shd w:val="clear" w:color="auto" w:fill="FFFFFF"/>
        </w:rPr>
        <w:t>.</w:t>
      </w:r>
    </w:p>
    <w:p w14:paraId="1A3FE65A" w14:textId="77777777" w:rsidR="000A7CDB" w:rsidRDefault="000A7CDB" w:rsidP="000A7CDB">
      <w:pPr>
        <w:ind w:right="50"/>
        <w:jc w:val="both"/>
        <w:rPr>
          <w:rFonts w:ascii="Arial Narrow" w:hAnsi="Arial Narrow" w:cs="Calibri"/>
          <w:sz w:val="24"/>
          <w:szCs w:val="24"/>
          <w:shd w:val="clear" w:color="auto" w:fill="FFFFFF"/>
        </w:rPr>
      </w:pPr>
    </w:p>
    <w:p w14:paraId="2074BB2D" w14:textId="60A52F4F" w:rsidR="00991E4A" w:rsidRDefault="000A7CDB" w:rsidP="00991E4A">
      <w:pPr>
        <w:ind w:right="50"/>
        <w:jc w:val="both"/>
        <w:rPr>
          <w:rFonts w:ascii="Arial Narrow" w:hAnsi="Arial Narrow" w:cs="Calibri"/>
          <w:sz w:val="24"/>
          <w:szCs w:val="24"/>
          <w:shd w:val="clear" w:color="auto" w:fill="FFFFFF"/>
        </w:rPr>
      </w:pPr>
      <w:r w:rsidRPr="00991E4A">
        <w:rPr>
          <w:rFonts w:ascii="Arial Narrow" w:hAnsi="Arial Narrow" w:cs="Calibri"/>
          <w:sz w:val="24"/>
          <w:szCs w:val="24"/>
          <w:shd w:val="clear" w:color="auto" w:fill="FFFFFF"/>
        </w:rPr>
        <w:t>Que</w:t>
      </w:r>
      <w:r w:rsidR="006A7386">
        <w:rPr>
          <w:rFonts w:ascii="Arial Narrow" w:hAnsi="Arial Narrow" w:cs="Calibri"/>
          <w:sz w:val="24"/>
          <w:szCs w:val="24"/>
          <w:shd w:val="clear" w:color="auto" w:fill="FFFFFF"/>
        </w:rPr>
        <w:t xml:space="preserve"> </w:t>
      </w:r>
      <w:r w:rsidR="006A7386" w:rsidRPr="00991E4A">
        <w:rPr>
          <w:rFonts w:ascii="Arial Narrow" w:hAnsi="Arial Narrow" w:cs="Calibri"/>
          <w:sz w:val="24"/>
          <w:szCs w:val="24"/>
          <w:shd w:val="clear" w:color="auto" w:fill="FFFFFF"/>
        </w:rPr>
        <w:t xml:space="preserve">teniendo en cuenta que la contribución especial de vigilancia se recaudará en dos </w:t>
      </w:r>
      <w:r w:rsidR="006A7386">
        <w:rPr>
          <w:rFonts w:ascii="Arial Narrow" w:hAnsi="Arial Narrow" w:cs="Calibri"/>
          <w:sz w:val="24"/>
          <w:szCs w:val="24"/>
          <w:shd w:val="clear" w:color="auto" w:fill="FFFFFF"/>
        </w:rPr>
        <w:t>cuotas</w:t>
      </w:r>
      <w:r w:rsidR="006A7386" w:rsidRPr="00991E4A">
        <w:rPr>
          <w:rFonts w:ascii="Arial Narrow" w:hAnsi="Arial Narrow" w:cs="Calibri"/>
          <w:sz w:val="24"/>
          <w:szCs w:val="24"/>
          <w:shd w:val="clear" w:color="auto" w:fill="FFFFFF"/>
        </w:rPr>
        <w:t>,</w:t>
      </w:r>
      <w:r w:rsidR="006A7386">
        <w:rPr>
          <w:rFonts w:ascii="Arial Narrow" w:hAnsi="Arial Narrow" w:cs="Calibri"/>
          <w:sz w:val="24"/>
          <w:szCs w:val="24"/>
          <w:shd w:val="clear" w:color="auto" w:fill="FFFFFF"/>
        </w:rPr>
        <w:t xml:space="preserve"> </w:t>
      </w:r>
      <w:r w:rsidR="006A7386" w:rsidRPr="00BF772C">
        <w:rPr>
          <w:rFonts w:ascii="Arial Narrow" w:hAnsi="Arial Narrow" w:cs="Calibri"/>
          <w:b/>
          <w:bCs/>
          <w:sz w:val="24"/>
          <w:szCs w:val="24"/>
          <w:u w:val="single"/>
          <w:shd w:val="clear" w:color="auto" w:fill="FFFFFF"/>
        </w:rPr>
        <w:t xml:space="preserve">para los sujetos </w:t>
      </w:r>
      <w:r w:rsidR="00BF772C">
        <w:rPr>
          <w:rFonts w:ascii="Arial Narrow" w:hAnsi="Arial Narrow" w:cs="Calibri"/>
          <w:b/>
          <w:bCs/>
          <w:sz w:val="24"/>
          <w:szCs w:val="24"/>
          <w:u w:val="single"/>
          <w:shd w:val="clear" w:color="auto" w:fill="FFFFFF"/>
        </w:rPr>
        <w:t xml:space="preserve">vigilados </w:t>
      </w:r>
      <w:r w:rsidR="006A7386" w:rsidRPr="00BF772C">
        <w:rPr>
          <w:rFonts w:ascii="Arial Narrow" w:hAnsi="Arial Narrow" w:cs="Calibri"/>
          <w:b/>
          <w:bCs/>
          <w:sz w:val="24"/>
          <w:szCs w:val="24"/>
          <w:u w:val="single"/>
          <w:shd w:val="clear" w:color="auto" w:fill="FFFFFF"/>
        </w:rPr>
        <w:t>que reportaron la información subjetiva de la vigencia 2019</w:t>
      </w:r>
      <w:r w:rsidR="00BF772C" w:rsidRPr="00BF772C">
        <w:rPr>
          <w:rFonts w:ascii="Arial Narrow" w:hAnsi="Arial Narrow" w:cs="Calibri"/>
          <w:b/>
          <w:bCs/>
          <w:sz w:val="24"/>
          <w:szCs w:val="24"/>
          <w:u w:val="single"/>
          <w:shd w:val="clear" w:color="auto" w:fill="FFFFFF"/>
        </w:rPr>
        <w:t>,</w:t>
      </w:r>
      <w:r w:rsidRPr="00991E4A">
        <w:rPr>
          <w:rFonts w:ascii="Arial Narrow" w:hAnsi="Arial Narrow" w:cs="Calibri"/>
          <w:sz w:val="24"/>
          <w:szCs w:val="24"/>
          <w:shd w:val="clear" w:color="auto" w:fill="FFFFFF"/>
        </w:rPr>
        <w:t xml:space="preserve"> la primera cuota </w:t>
      </w:r>
      <w:r w:rsidR="00991E4A" w:rsidRPr="00991E4A">
        <w:rPr>
          <w:rFonts w:ascii="Arial Narrow" w:hAnsi="Arial Narrow" w:cs="Calibri"/>
          <w:sz w:val="24"/>
          <w:szCs w:val="24"/>
          <w:shd w:val="clear" w:color="auto" w:fill="FFFFFF"/>
        </w:rPr>
        <w:t>se calculará</w:t>
      </w:r>
      <w:r w:rsidR="006A7386">
        <w:rPr>
          <w:rFonts w:ascii="Arial Narrow" w:hAnsi="Arial Narrow" w:cs="Calibri"/>
          <w:sz w:val="24"/>
          <w:szCs w:val="24"/>
          <w:shd w:val="clear" w:color="auto" w:fill="FFFFFF"/>
        </w:rPr>
        <w:t xml:space="preserve"> </w:t>
      </w:r>
      <w:r w:rsidR="006A7386" w:rsidRPr="006A7386">
        <w:rPr>
          <w:rFonts w:ascii="Arial Narrow" w:hAnsi="Arial Narrow" w:cs="Calibri"/>
          <w:sz w:val="24"/>
          <w:szCs w:val="24"/>
          <w:shd w:val="clear" w:color="auto" w:fill="FFFFFF"/>
        </w:rPr>
        <w:t>multiplicando la tarifa definida</w:t>
      </w:r>
      <w:r w:rsidR="00080B30">
        <w:rPr>
          <w:rFonts w:ascii="Arial Narrow" w:hAnsi="Arial Narrow" w:cs="Calibri"/>
          <w:sz w:val="24"/>
          <w:szCs w:val="24"/>
          <w:shd w:val="clear" w:color="auto" w:fill="FFFFFF"/>
        </w:rPr>
        <w:t xml:space="preserve"> por tipo de vigilancia</w:t>
      </w:r>
      <w:r w:rsidR="006A7386" w:rsidRPr="006A7386">
        <w:rPr>
          <w:rFonts w:ascii="Arial Narrow" w:hAnsi="Arial Narrow" w:cs="Calibri"/>
          <w:sz w:val="24"/>
          <w:szCs w:val="24"/>
          <w:shd w:val="clear" w:color="auto" w:fill="FFFFFF"/>
        </w:rPr>
        <w:t>, por los ingresos efectivamente percibidos en el periodo 2019</w:t>
      </w:r>
      <w:r w:rsidR="006A7386">
        <w:rPr>
          <w:rFonts w:ascii="Arial Narrow" w:hAnsi="Arial Narrow" w:cs="Calibri"/>
          <w:sz w:val="24"/>
          <w:szCs w:val="24"/>
          <w:shd w:val="clear" w:color="auto" w:fill="FFFFFF"/>
        </w:rPr>
        <w:t xml:space="preserve"> y</w:t>
      </w:r>
      <w:r w:rsidR="006A7386" w:rsidRPr="006A7386">
        <w:rPr>
          <w:rFonts w:ascii="Arial Narrow" w:hAnsi="Arial Narrow" w:cs="Calibri"/>
          <w:sz w:val="24"/>
          <w:szCs w:val="24"/>
          <w:shd w:val="clear" w:color="auto" w:fill="FFFFFF"/>
        </w:rPr>
        <w:t xml:space="preserve"> </w:t>
      </w:r>
      <w:r w:rsidR="006A7386">
        <w:rPr>
          <w:rFonts w:ascii="Arial Narrow" w:hAnsi="Arial Narrow" w:cs="Calibri"/>
          <w:sz w:val="24"/>
          <w:szCs w:val="24"/>
          <w:shd w:val="clear" w:color="auto" w:fill="FFFFFF"/>
        </w:rPr>
        <w:t>un</w:t>
      </w:r>
      <w:r w:rsidR="006A7386" w:rsidRPr="006A7386">
        <w:rPr>
          <w:rFonts w:ascii="Arial Narrow" w:hAnsi="Arial Narrow" w:cs="Calibri"/>
          <w:sz w:val="24"/>
          <w:szCs w:val="24"/>
          <w:shd w:val="clear" w:color="auto" w:fill="FFFFFF"/>
        </w:rPr>
        <w:t xml:space="preserve"> </w:t>
      </w:r>
      <w:r w:rsidR="006A7386">
        <w:rPr>
          <w:rFonts w:ascii="Arial Narrow" w:hAnsi="Arial Narrow" w:cs="Calibri"/>
          <w:sz w:val="24"/>
          <w:szCs w:val="24"/>
          <w:shd w:val="clear" w:color="auto" w:fill="FFFFFF"/>
        </w:rPr>
        <w:t xml:space="preserve">porcentaje del </w:t>
      </w:r>
      <w:r w:rsidR="006A7386" w:rsidRPr="006A7386">
        <w:rPr>
          <w:rFonts w:ascii="Arial Narrow" w:hAnsi="Arial Narrow" w:cs="Calibri"/>
          <w:sz w:val="24"/>
          <w:szCs w:val="24"/>
          <w:shd w:val="clear" w:color="auto" w:fill="FFFFFF"/>
        </w:rPr>
        <w:t>50%</w:t>
      </w:r>
      <w:r w:rsidR="00080B30">
        <w:rPr>
          <w:rFonts w:ascii="Arial Narrow" w:hAnsi="Arial Narrow" w:cs="Calibri"/>
          <w:sz w:val="24"/>
          <w:szCs w:val="24"/>
          <w:shd w:val="clear" w:color="auto" w:fill="FFFFFF"/>
        </w:rPr>
        <w:t>. L</w:t>
      </w:r>
      <w:r w:rsidR="00991E4A">
        <w:rPr>
          <w:rFonts w:ascii="Arial Narrow" w:hAnsi="Arial Narrow" w:cs="Calibri"/>
          <w:sz w:val="24"/>
          <w:szCs w:val="24"/>
          <w:shd w:val="clear" w:color="auto" w:fill="FFFFFF"/>
        </w:rPr>
        <w:t>a segunda cuota corresponderá al mismo v</w:t>
      </w:r>
      <w:r w:rsidR="0069442E">
        <w:rPr>
          <w:rFonts w:ascii="Arial Narrow" w:hAnsi="Arial Narrow" w:cs="Calibri"/>
          <w:sz w:val="24"/>
          <w:szCs w:val="24"/>
          <w:shd w:val="clear" w:color="auto" w:fill="FFFFFF"/>
        </w:rPr>
        <w:t>alor pagado en la primera cuota</w:t>
      </w:r>
      <w:r w:rsidR="00991E4A">
        <w:rPr>
          <w:rFonts w:ascii="Arial Narrow" w:hAnsi="Arial Narrow" w:cs="Calibri"/>
          <w:sz w:val="24"/>
          <w:szCs w:val="24"/>
          <w:shd w:val="clear" w:color="auto" w:fill="FFFFFF"/>
        </w:rPr>
        <w:t>,</w:t>
      </w:r>
      <w:r w:rsidR="0069442E">
        <w:rPr>
          <w:rFonts w:ascii="Arial Narrow" w:hAnsi="Arial Narrow" w:cs="Calibri"/>
          <w:sz w:val="24"/>
          <w:szCs w:val="24"/>
          <w:shd w:val="clear" w:color="auto" w:fill="FFFFFF"/>
        </w:rPr>
        <w:t xml:space="preserve"> por consiguiente,</w:t>
      </w:r>
      <w:r w:rsidR="00991E4A">
        <w:rPr>
          <w:rFonts w:ascii="Arial Narrow" w:hAnsi="Arial Narrow" w:cs="Calibri"/>
          <w:sz w:val="24"/>
          <w:szCs w:val="24"/>
          <w:shd w:val="clear" w:color="auto" w:fill="FFFFFF"/>
        </w:rPr>
        <w:t xml:space="preserve"> la ecuación a aplicar para determinar la segunda cuota será la misma que se señaló para la primera. </w:t>
      </w:r>
    </w:p>
    <w:p w14:paraId="2883A5B9" w14:textId="77777777" w:rsidR="00C66977" w:rsidRPr="0040664C" w:rsidRDefault="00C66977" w:rsidP="00437409">
      <w:pPr>
        <w:ind w:right="50"/>
        <w:jc w:val="both"/>
        <w:rPr>
          <w:rFonts w:ascii="Arial Narrow" w:hAnsi="Arial Narrow" w:cs="Calibri"/>
          <w:sz w:val="24"/>
          <w:szCs w:val="24"/>
          <w:highlight w:val="yellow"/>
          <w:shd w:val="clear" w:color="auto" w:fill="FFFFFF"/>
        </w:rPr>
      </w:pPr>
    </w:p>
    <w:p w14:paraId="60676658" w14:textId="06DA9960" w:rsidR="0040664C" w:rsidRDefault="00221FE8" w:rsidP="00D308D4">
      <w:pPr>
        <w:ind w:right="50"/>
        <w:jc w:val="both"/>
        <w:rPr>
          <w:rFonts w:ascii="Arial Narrow" w:hAnsi="Arial Narrow" w:cs="Calibri"/>
          <w:sz w:val="24"/>
          <w:szCs w:val="24"/>
          <w:shd w:val="clear" w:color="auto" w:fill="FFFFFF"/>
        </w:rPr>
      </w:pPr>
      <w:r>
        <w:rPr>
          <w:rFonts w:ascii="Arial Narrow" w:hAnsi="Arial Narrow" w:cs="Calibri"/>
          <w:sz w:val="24"/>
          <w:szCs w:val="24"/>
          <w:shd w:val="clear" w:color="auto" w:fill="FFFFFF"/>
        </w:rPr>
        <w:t xml:space="preserve">Que de </w:t>
      </w:r>
      <w:r w:rsidR="0040664C" w:rsidRPr="00D308D4">
        <w:rPr>
          <w:rFonts w:ascii="Arial Narrow" w:hAnsi="Arial Narrow" w:cs="Calibri"/>
          <w:sz w:val="24"/>
          <w:szCs w:val="24"/>
          <w:shd w:val="clear" w:color="auto" w:fill="FFFFFF"/>
        </w:rPr>
        <w:t>conformidad con</w:t>
      </w:r>
      <w:r>
        <w:rPr>
          <w:rFonts w:ascii="Arial Narrow" w:hAnsi="Arial Narrow" w:cs="Calibri"/>
          <w:sz w:val="24"/>
          <w:szCs w:val="24"/>
          <w:shd w:val="clear" w:color="auto" w:fill="FFFFFF"/>
        </w:rPr>
        <w:t xml:space="preserve"> lo establecido en</w:t>
      </w:r>
      <w:r w:rsidR="0040664C" w:rsidRPr="00D308D4">
        <w:rPr>
          <w:rFonts w:ascii="Arial Narrow" w:hAnsi="Arial Narrow" w:cs="Calibri"/>
          <w:sz w:val="24"/>
          <w:szCs w:val="24"/>
          <w:shd w:val="clear" w:color="auto" w:fill="FFFFFF"/>
        </w:rPr>
        <w:t xml:space="preserve"> la resolución</w:t>
      </w:r>
      <w:r>
        <w:rPr>
          <w:rFonts w:ascii="Arial Narrow" w:hAnsi="Arial Narrow" w:cs="Calibri"/>
          <w:sz w:val="24"/>
          <w:szCs w:val="24"/>
          <w:shd w:val="clear" w:color="auto" w:fill="FFFFFF"/>
        </w:rPr>
        <w:t xml:space="preserve"> número</w:t>
      </w:r>
      <w:r w:rsidR="0040664C" w:rsidRPr="00D308D4">
        <w:rPr>
          <w:rFonts w:ascii="Arial Narrow" w:hAnsi="Arial Narrow" w:cs="Calibri"/>
          <w:sz w:val="24"/>
          <w:szCs w:val="24"/>
          <w:shd w:val="clear" w:color="auto" w:fill="FFFFFF"/>
        </w:rPr>
        <w:t xml:space="preserve"> </w:t>
      </w:r>
      <w:r w:rsidR="00D308D4" w:rsidRPr="00D308D4">
        <w:rPr>
          <w:rFonts w:ascii="Arial Narrow" w:hAnsi="Arial Narrow" w:cs="Calibri"/>
          <w:sz w:val="24"/>
          <w:szCs w:val="24"/>
          <w:shd w:val="clear" w:color="auto" w:fill="FFFFFF"/>
        </w:rPr>
        <w:t>6253 del 26 de marzo de 2020</w:t>
      </w:r>
      <w:r w:rsidR="00D308D4">
        <w:rPr>
          <w:rFonts w:ascii="Arial Narrow" w:hAnsi="Arial Narrow" w:cs="Calibri"/>
          <w:sz w:val="24"/>
          <w:szCs w:val="24"/>
          <w:shd w:val="clear" w:color="auto" w:fill="FFFFFF"/>
        </w:rPr>
        <w:t>, por medio de la cual se actualizó la metodología adoptada por la Entidad,</w:t>
      </w:r>
      <w:r w:rsidR="00D308D4" w:rsidRPr="00D308D4">
        <w:rPr>
          <w:rFonts w:ascii="Arial Narrow" w:hAnsi="Arial Narrow" w:cs="Calibri"/>
          <w:sz w:val="24"/>
          <w:szCs w:val="24"/>
          <w:shd w:val="clear" w:color="auto" w:fill="FFFFFF"/>
        </w:rPr>
        <w:t xml:space="preserve"> </w:t>
      </w:r>
      <w:r w:rsidR="00D308D4" w:rsidRPr="00D308D4">
        <w:rPr>
          <w:rFonts w:ascii="Arial Narrow" w:hAnsi="Arial Narrow" w:cs="Calibri"/>
          <w:b/>
          <w:bCs/>
          <w:sz w:val="24"/>
          <w:szCs w:val="24"/>
          <w:u w:val="single"/>
          <w:shd w:val="clear" w:color="auto" w:fill="FFFFFF"/>
        </w:rPr>
        <w:t>para los sujetos vigilados que no reportaron la información subjetiva de la vigencia 2019</w:t>
      </w:r>
      <w:r w:rsidR="0040664C" w:rsidRPr="00D308D4">
        <w:rPr>
          <w:rFonts w:ascii="Arial Narrow" w:hAnsi="Arial Narrow" w:cs="Calibri"/>
          <w:sz w:val="24"/>
          <w:szCs w:val="24"/>
          <w:shd w:val="clear" w:color="auto" w:fill="FFFFFF"/>
        </w:rPr>
        <w:t>,</w:t>
      </w:r>
      <w:r w:rsidR="00D308D4" w:rsidRPr="00D308D4">
        <w:rPr>
          <w:rFonts w:ascii="Arial Narrow" w:hAnsi="Arial Narrow" w:cs="Calibri"/>
          <w:sz w:val="24"/>
          <w:szCs w:val="24"/>
          <w:shd w:val="clear" w:color="auto" w:fill="FFFFFF"/>
        </w:rPr>
        <w:t xml:space="preserve"> la primera cuota</w:t>
      </w:r>
      <w:r w:rsidR="0040664C" w:rsidRPr="00D308D4">
        <w:rPr>
          <w:rFonts w:ascii="Arial Narrow" w:hAnsi="Arial Narrow" w:cs="Calibri"/>
          <w:sz w:val="24"/>
          <w:szCs w:val="24"/>
          <w:shd w:val="clear" w:color="auto" w:fill="FFFFFF"/>
        </w:rPr>
        <w:t xml:space="preserve"> se calculará multiplicando la tarifa definida por tipo de vigilancia, por </w:t>
      </w:r>
      <w:r w:rsidR="0040664C" w:rsidRPr="00D308D4">
        <w:rPr>
          <w:rFonts w:ascii="Arial Narrow" w:hAnsi="Arial Narrow" w:cs="Calibri"/>
          <w:b/>
          <w:bCs/>
          <w:sz w:val="24"/>
          <w:szCs w:val="24"/>
          <w:u w:val="single"/>
          <w:shd w:val="clear" w:color="auto" w:fill="FFFFFF"/>
        </w:rPr>
        <w:t>los ingresos estimados para el periodo 2019</w:t>
      </w:r>
      <w:r w:rsidR="0040664C" w:rsidRPr="00D308D4">
        <w:rPr>
          <w:rFonts w:ascii="Arial Narrow" w:hAnsi="Arial Narrow" w:cs="Calibri"/>
          <w:sz w:val="24"/>
          <w:szCs w:val="24"/>
          <w:shd w:val="clear" w:color="auto" w:fill="FFFFFF"/>
        </w:rPr>
        <w:t xml:space="preserve"> y un porcentaje del 50%. De esta forma, pa</w:t>
      </w:r>
      <w:r w:rsidR="00D308D4" w:rsidRPr="00D308D4">
        <w:rPr>
          <w:rFonts w:ascii="Arial Narrow" w:hAnsi="Arial Narrow" w:cs="Calibri"/>
          <w:sz w:val="24"/>
          <w:szCs w:val="24"/>
          <w:shd w:val="clear" w:color="auto" w:fill="FFFFFF"/>
        </w:rPr>
        <w:t>ra calcular el ingreso estimado se multiplicarán</w:t>
      </w:r>
      <w:r w:rsidR="0040664C" w:rsidRPr="00D308D4">
        <w:rPr>
          <w:rFonts w:ascii="Arial Narrow" w:hAnsi="Arial Narrow" w:cs="Calibri"/>
          <w:sz w:val="24"/>
          <w:szCs w:val="24"/>
          <w:shd w:val="clear" w:color="auto" w:fill="FFFFFF"/>
        </w:rPr>
        <w:t xml:space="preserve"> </w:t>
      </w:r>
      <w:r w:rsidR="00D308D4" w:rsidRPr="00D308D4">
        <w:rPr>
          <w:rFonts w:ascii="Arial Narrow" w:hAnsi="Arial Narrow" w:cs="Calibri"/>
          <w:sz w:val="24"/>
          <w:szCs w:val="24"/>
          <w:shd w:val="clear" w:color="auto" w:fill="FFFFFF"/>
        </w:rPr>
        <w:t>los ingresos debidamente reportados en la vigencia 2018 por el factor de expansión del 6,88%</w:t>
      </w:r>
      <w:r w:rsidR="00D308D4">
        <w:rPr>
          <w:rStyle w:val="Refdenotaalpie"/>
          <w:rFonts w:ascii="Arial Narrow" w:hAnsi="Arial Narrow" w:cs="Calibri"/>
          <w:sz w:val="24"/>
          <w:szCs w:val="24"/>
          <w:shd w:val="clear" w:color="auto" w:fill="FFFFFF"/>
        </w:rPr>
        <w:footnoteReference w:id="1"/>
      </w:r>
      <w:r w:rsidR="00254577">
        <w:rPr>
          <w:rFonts w:ascii="Arial Narrow" w:hAnsi="Arial Narrow" w:cs="Calibri"/>
          <w:sz w:val="24"/>
          <w:szCs w:val="24"/>
          <w:shd w:val="clear" w:color="auto" w:fill="FFFFFF"/>
        </w:rPr>
        <w:t>; e</w:t>
      </w:r>
      <w:r w:rsidR="0040664C" w:rsidRPr="00D308D4">
        <w:rPr>
          <w:rFonts w:ascii="Arial Narrow" w:hAnsi="Arial Narrow" w:cs="Calibri"/>
          <w:sz w:val="24"/>
          <w:szCs w:val="24"/>
          <w:shd w:val="clear" w:color="auto" w:fill="FFFFFF"/>
        </w:rPr>
        <w:t>ste resultado se multiplicará por el 95% que corresponde al nivel de confianza.</w:t>
      </w:r>
    </w:p>
    <w:p w14:paraId="26EFC0B4" w14:textId="77777777" w:rsidR="00D308D4" w:rsidRDefault="00D308D4" w:rsidP="00D308D4">
      <w:pPr>
        <w:ind w:right="50"/>
        <w:jc w:val="both"/>
        <w:rPr>
          <w:rFonts w:ascii="Arial Narrow" w:hAnsi="Arial Narrow" w:cs="Calibri"/>
          <w:sz w:val="24"/>
          <w:szCs w:val="24"/>
          <w:shd w:val="clear" w:color="auto" w:fill="FFFFFF"/>
        </w:rPr>
      </w:pPr>
    </w:p>
    <w:p w14:paraId="4B4C168A" w14:textId="59A94EAB" w:rsidR="0040664C" w:rsidRPr="00221FE8" w:rsidRDefault="00D308D4" w:rsidP="00437409">
      <w:pPr>
        <w:ind w:right="50"/>
        <w:jc w:val="both"/>
        <w:rPr>
          <w:rFonts w:ascii="Arial Narrow" w:hAnsi="Arial Narrow" w:cs="Calibri"/>
          <w:sz w:val="32"/>
          <w:szCs w:val="24"/>
          <w:shd w:val="clear" w:color="auto" w:fill="FFFFFF"/>
        </w:rPr>
      </w:pPr>
      <w:r>
        <w:rPr>
          <w:rFonts w:ascii="Arial Narrow" w:hAnsi="Arial Narrow" w:cs="Calibri"/>
          <w:sz w:val="24"/>
          <w:szCs w:val="24"/>
          <w:shd w:val="clear" w:color="auto" w:fill="FFFFFF"/>
        </w:rPr>
        <w:t>Que en concordancia con lo anterior, para el cobro de la segunda cuota se deberá multiplicar la tarifa d</w:t>
      </w:r>
      <w:r w:rsidR="00145DA7">
        <w:rPr>
          <w:rFonts w:ascii="Arial Narrow" w:hAnsi="Arial Narrow" w:cs="Calibri"/>
          <w:sz w:val="24"/>
          <w:szCs w:val="24"/>
          <w:shd w:val="clear" w:color="auto" w:fill="FFFFFF"/>
        </w:rPr>
        <w:t xml:space="preserve">efinida por tipo de vigilancia </w:t>
      </w:r>
      <w:r>
        <w:rPr>
          <w:rFonts w:ascii="Arial Narrow" w:hAnsi="Arial Narrow" w:cs="Calibri"/>
          <w:sz w:val="24"/>
          <w:szCs w:val="24"/>
          <w:shd w:val="clear" w:color="auto" w:fill="FFFFFF"/>
        </w:rPr>
        <w:t xml:space="preserve">por </w:t>
      </w:r>
      <w:r w:rsidRPr="00D308D4">
        <w:rPr>
          <w:rFonts w:ascii="Arial Narrow" w:hAnsi="Arial Narrow" w:cs="Calibri"/>
          <w:b/>
          <w:bCs/>
          <w:sz w:val="24"/>
          <w:szCs w:val="24"/>
          <w:u w:val="single"/>
          <w:shd w:val="clear" w:color="auto" w:fill="FFFFFF"/>
        </w:rPr>
        <w:t xml:space="preserve">los ingresos estimados para el periodo </w:t>
      </w:r>
      <w:proofErr w:type="gramStart"/>
      <w:r w:rsidRPr="00D308D4">
        <w:rPr>
          <w:rFonts w:ascii="Arial Narrow" w:hAnsi="Arial Narrow" w:cs="Calibri"/>
          <w:b/>
          <w:bCs/>
          <w:sz w:val="24"/>
          <w:szCs w:val="24"/>
          <w:u w:val="single"/>
          <w:shd w:val="clear" w:color="auto" w:fill="FFFFFF"/>
        </w:rPr>
        <w:t>2019</w:t>
      </w:r>
      <w:r>
        <w:rPr>
          <w:rFonts w:ascii="Arial Narrow" w:hAnsi="Arial Narrow" w:cs="Calibri"/>
          <w:b/>
          <w:bCs/>
          <w:sz w:val="24"/>
          <w:szCs w:val="24"/>
          <w:u w:val="single"/>
          <w:shd w:val="clear" w:color="auto" w:fill="FFFFFF"/>
        </w:rPr>
        <w:t xml:space="preserve"> </w:t>
      </w:r>
      <w:r w:rsidR="00145DA7">
        <w:rPr>
          <w:rFonts w:ascii="Arial Narrow" w:hAnsi="Arial Narrow" w:cs="Calibri"/>
          <w:bCs/>
          <w:sz w:val="24"/>
          <w:szCs w:val="24"/>
          <w:shd w:val="clear" w:color="auto" w:fill="FFFFFF"/>
        </w:rPr>
        <w:t xml:space="preserve"> </w:t>
      </w:r>
      <w:r>
        <w:rPr>
          <w:rFonts w:ascii="Arial Narrow" w:hAnsi="Arial Narrow" w:cs="Calibri"/>
          <w:bCs/>
          <w:sz w:val="24"/>
          <w:szCs w:val="24"/>
          <w:shd w:val="clear" w:color="auto" w:fill="FFFFFF"/>
        </w:rPr>
        <w:t>y</w:t>
      </w:r>
      <w:proofErr w:type="gramEnd"/>
      <w:r>
        <w:rPr>
          <w:rFonts w:ascii="Arial Narrow" w:hAnsi="Arial Narrow" w:cs="Calibri"/>
          <w:bCs/>
          <w:sz w:val="24"/>
          <w:szCs w:val="24"/>
          <w:shd w:val="clear" w:color="auto" w:fill="FFFFFF"/>
        </w:rPr>
        <w:t xml:space="preserve"> un porcentaje del 50%.</w:t>
      </w:r>
      <w:r>
        <w:rPr>
          <w:rFonts w:ascii="Arial Narrow" w:hAnsi="Arial Narrow" w:cs="Calibri"/>
          <w:sz w:val="24"/>
          <w:szCs w:val="24"/>
          <w:shd w:val="clear" w:color="auto" w:fill="FFFFFF"/>
        </w:rPr>
        <w:t xml:space="preserve"> </w:t>
      </w:r>
      <w:r w:rsidRPr="00D308D4">
        <w:rPr>
          <w:rFonts w:ascii="Arial Narrow" w:hAnsi="Arial Narrow" w:cs="Calibri"/>
          <w:sz w:val="24"/>
          <w:szCs w:val="24"/>
          <w:shd w:val="clear" w:color="auto" w:fill="FFFFFF"/>
        </w:rPr>
        <w:t xml:space="preserve">Sin embargo, para aquellos vigilados que no hayan reportado la información financiera del año 2019 dentro de los plazos establecidos por esta Superintendencia, y que antes de la liquidación de la segunda cuota reporten al Sistema Nacional de Supervisión al Transporte - VIGIA los ingresos de la referida anualidad; la liquidación de la segunda cuota será equivalente al resultado de multiplicar </w:t>
      </w:r>
      <w:r>
        <w:rPr>
          <w:rFonts w:ascii="Arial Narrow" w:hAnsi="Arial Narrow" w:cs="Calibri"/>
          <w:sz w:val="24"/>
          <w:szCs w:val="24"/>
          <w:shd w:val="clear" w:color="auto" w:fill="FFFFFF"/>
        </w:rPr>
        <w:t>la tarifa definida</w:t>
      </w:r>
      <w:r w:rsidRPr="00D308D4">
        <w:rPr>
          <w:rFonts w:ascii="Arial Narrow" w:hAnsi="Arial Narrow" w:cs="Calibri"/>
          <w:sz w:val="24"/>
          <w:szCs w:val="24"/>
          <w:shd w:val="clear" w:color="auto" w:fill="FFFFFF"/>
        </w:rPr>
        <w:t xml:space="preserve"> por los ingresos efectivamente reportados del año 2019, menos el valor pagado por el vigilado en la primera cuota.</w:t>
      </w:r>
    </w:p>
    <w:p w14:paraId="41097FC1" w14:textId="77777777" w:rsidR="0040664C" w:rsidRDefault="0040664C" w:rsidP="00437409">
      <w:pPr>
        <w:ind w:right="50"/>
        <w:jc w:val="both"/>
        <w:rPr>
          <w:rFonts w:ascii="Arial Narrow" w:hAnsi="Arial Narrow" w:cs="Calibri"/>
          <w:sz w:val="24"/>
          <w:szCs w:val="24"/>
          <w:shd w:val="clear" w:color="auto" w:fill="FFFFFF"/>
        </w:rPr>
      </w:pPr>
    </w:p>
    <w:p w14:paraId="0A859DDD" w14:textId="704BFC7D" w:rsidR="00437409" w:rsidRPr="008A2009" w:rsidRDefault="00437409" w:rsidP="00437409">
      <w:pPr>
        <w:ind w:right="50"/>
        <w:jc w:val="both"/>
        <w:rPr>
          <w:rFonts w:ascii="Arial Narrow" w:hAnsi="Arial Narrow" w:cs="Calibri"/>
          <w:sz w:val="24"/>
          <w:szCs w:val="24"/>
          <w:shd w:val="clear" w:color="auto" w:fill="FFFFFF"/>
          <w:lang w:val="es-CO"/>
        </w:rPr>
      </w:pPr>
      <w:r w:rsidRPr="008A2009">
        <w:rPr>
          <w:rFonts w:ascii="Arial Narrow" w:hAnsi="Arial Narrow" w:cs="Calibri"/>
          <w:sz w:val="24"/>
          <w:szCs w:val="24"/>
          <w:shd w:val="clear" w:color="auto" w:fill="FFFFFF"/>
        </w:rPr>
        <w:t xml:space="preserve">Que el artículo 3 de la Ley 1066 de 2006, establece que: </w:t>
      </w:r>
      <w:r w:rsidRPr="008A2009">
        <w:rPr>
          <w:rFonts w:ascii="Arial Narrow" w:hAnsi="Arial Narrow" w:cs="Calibri"/>
          <w:i/>
          <w:sz w:val="24"/>
          <w:szCs w:val="24"/>
          <w:shd w:val="clear" w:color="auto" w:fill="FFFFFF"/>
        </w:rPr>
        <w:t>“</w:t>
      </w:r>
      <w:r w:rsidRPr="008A2009">
        <w:rPr>
          <w:rFonts w:ascii="Arial Narrow" w:hAnsi="Arial Narrow" w:cs="Calibri"/>
          <w:i/>
          <w:sz w:val="24"/>
          <w:szCs w:val="24"/>
          <w:shd w:val="clear" w:color="auto" w:fill="FFFFFF"/>
          <w:lang w:val="es-CO"/>
        </w:rPr>
        <w:t>A partir de la vigencia de la presente ley, los contribuyentes o responsables de las tasas, contribuciones fiscales y contribuciones parafiscales que no las cancelen oportunamente deberán liquidar y pagar intereses moratorios a la tasa prevista en el Estatuto Tributario (...)”</w:t>
      </w:r>
      <w:r w:rsidRPr="008A2009">
        <w:rPr>
          <w:rFonts w:ascii="Arial Narrow" w:hAnsi="Arial Narrow" w:cs="Calibri"/>
          <w:sz w:val="24"/>
          <w:szCs w:val="24"/>
          <w:shd w:val="clear" w:color="auto" w:fill="FFFFFF"/>
          <w:lang w:val="es-CO"/>
        </w:rPr>
        <w:t>.</w:t>
      </w:r>
    </w:p>
    <w:p w14:paraId="4305DF8E" w14:textId="77777777" w:rsidR="00437409" w:rsidRPr="002B3EE9" w:rsidRDefault="00437409" w:rsidP="00437409">
      <w:pPr>
        <w:ind w:right="50"/>
        <w:rPr>
          <w:rFonts w:ascii="Arial Narrow" w:hAnsi="Arial Narrow" w:cs="Calibri"/>
          <w:sz w:val="24"/>
          <w:szCs w:val="24"/>
          <w:highlight w:val="yellow"/>
          <w:shd w:val="clear" w:color="auto" w:fill="FFFFFF"/>
          <w:lang w:val="es-CO"/>
        </w:rPr>
      </w:pPr>
    </w:p>
    <w:p w14:paraId="49F29D9F" w14:textId="141CAAC2" w:rsidR="008F1778" w:rsidRDefault="008F1778" w:rsidP="00437409">
      <w:pPr>
        <w:ind w:right="50"/>
        <w:jc w:val="both"/>
        <w:rPr>
          <w:rFonts w:ascii="Arial Narrow" w:hAnsi="Arial Narrow" w:cs="Calibri"/>
          <w:bCs/>
          <w:sz w:val="24"/>
          <w:szCs w:val="24"/>
          <w:shd w:val="clear" w:color="auto" w:fill="FFFFFF"/>
          <w:lang w:val="es-ES"/>
        </w:rPr>
      </w:pPr>
      <w:r>
        <w:rPr>
          <w:rFonts w:ascii="Arial Narrow" w:hAnsi="Arial Narrow" w:cs="Calibri"/>
          <w:bCs/>
          <w:sz w:val="24"/>
          <w:szCs w:val="24"/>
          <w:shd w:val="clear" w:color="auto" w:fill="FFFFFF"/>
          <w:lang w:val="es-ES"/>
        </w:rPr>
        <w:t xml:space="preserve">Que de conformidad con lo establecido en el Decreto 2897 de 2010 (compilado en el Decreto 1074 de 2015), esta Superintendencia efectuó la evaluación de incidencia sobre la libre competencia respecto del contenido de la presente resolución, para lo cual </w:t>
      </w:r>
      <w:r w:rsidR="004D140C">
        <w:rPr>
          <w:rFonts w:ascii="Arial Narrow" w:hAnsi="Arial Narrow" w:cs="Calibri"/>
          <w:bCs/>
          <w:sz w:val="24"/>
          <w:szCs w:val="24"/>
          <w:shd w:val="clear" w:color="auto" w:fill="FFFFFF"/>
          <w:lang w:val="es-ES"/>
        </w:rPr>
        <w:t xml:space="preserve">efectuó el análisis correspondiente y </w:t>
      </w:r>
      <w:r>
        <w:rPr>
          <w:rFonts w:ascii="Arial Narrow" w:hAnsi="Arial Narrow" w:cs="Calibri"/>
          <w:bCs/>
          <w:sz w:val="24"/>
          <w:szCs w:val="24"/>
          <w:shd w:val="clear" w:color="auto" w:fill="FFFFFF"/>
          <w:lang w:val="es-ES"/>
        </w:rPr>
        <w:t xml:space="preserve">dio respuesta </w:t>
      </w:r>
      <w:r w:rsidR="009A27C1">
        <w:rPr>
          <w:rFonts w:ascii="Arial Narrow" w:hAnsi="Arial Narrow" w:cs="Calibri"/>
          <w:bCs/>
          <w:sz w:val="24"/>
          <w:szCs w:val="24"/>
          <w:shd w:val="clear" w:color="auto" w:fill="FFFFFF"/>
          <w:lang w:val="es-ES"/>
        </w:rPr>
        <w:t>negativa a todas las preguntas</w:t>
      </w:r>
      <w:r>
        <w:rPr>
          <w:rFonts w:ascii="Arial Narrow" w:hAnsi="Arial Narrow" w:cs="Calibri"/>
          <w:bCs/>
          <w:sz w:val="24"/>
          <w:szCs w:val="24"/>
          <w:shd w:val="clear" w:color="auto" w:fill="FFFFFF"/>
          <w:lang w:val="es-ES"/>
        </w:rPr>
        <w:t xml:space="preserve"> </w:t>
      </w:r>
      <w:r w:rsidR="000D38EF">
        <w:rPr>
          <w:rFonts w:ascii="Arial Narrow" w:hAnsi="Arial Narrow" w:cs="Calibri"/>
          <w:bCs/>
          <w:sz w:val="24"/>
          <w:szCs w:val="24"/>
          <w:shd w:val="clear" w:color="auto" w:fill="FFFFFF"/>
          <w:lang w:val="es-ES"/>
        </w:rPr>
        <w:t>de</w:t>
      </w:r>
      <w:r>
        <w:rPr>
          <w:rFonts w:ascii="Arial Narrow" w:hAnsi="Arial Narrow" w:cs="Calibri"/>
          <w:bCs/>
          <w:sz w:val="24"/>
          <w:szCs w:val="24"/>
          <w:shd w:val="clear" w:color="auto" w:fill="FFFFFF"/>
          <w:lang w:val="es-ES"/>
        </w:rPr>
        <w:t>l formulario contenido en la resolución de la Superintendencia de Industria y Comercio</w:t>
      </w:r>
      <w:r w:rsidR="000D38EF">
        <w:rPr>
          <w:rFonts w:ascii="Arial Narrow" w:hAnsi="Arial Narrow" w:cs="Calibri"/>
          <w:bCs/>
          <w:sz w:val="24"/>
          <w:szCs w:val="24"/>
          <w:shd w:val="clear" w:color="auto" w:fill="FFFFFF"/>
          <w:lang w:val="es-ES"/>
        </w:rPr>
        <w:t xml:space="preserve"> – SIC- </w:t>
      </w:r>
      <w:r>
        <w:rPr>
          <w:rFonts w:ascii="Arial Narrow" w:hAnsi="Arial Narrow" w:cs="Calibri"/>
          <w:bCs/>
          <w:sz w:val="24"/>
          <w:szCs w:val="24"/>
          <w:shd w:val="clear" w:color="auto" w:fill="FFFFFF"/>
          <w:lang w:val="es-ES"/>
        </w:rPr>
        <w:t xml:space="preserve"> No 44649 de 2010, </w:t>
      </w:r>
      <w:r w:rsidR="004D140C">
        <w:rPr>
          <w:rFonts w:ascii="Arial Narrow" w:hAnsi="Arial Narrow" w:cs="Calibri"/>
          <w:bCs/>
          <w:sz w:val="24"/>
          <w:szCs w:val="24"/>
          <w:shd w:val="clear" w:color="auto" w:fill="FFFFFF"/>
          <w:lang w:val="es-ES"/>
        </w:rPr>
        <w:t>encontrándose que la presente resolución no plantea una restricción a la libre competencia económica.</w:t>
      </w:r>
    </w:p>
    <w:p w14:paraId="1C38D4A4" w14:textId="77777777" w:rsidR="004D140C" w:rsidRDefault="004D140C" w:rsidP="00437409">
      <w:pPr>
        <w:ind w:right="50"/>
        <w:jc w:val="both"/>
        <w:rPr>
          <w:rFonts w:ascii="Arial Narrow" w:hAnsi="Arial Narrow" w:cs="Calibri"/>
          <w:bCs/>
          <w:sz w:val="24"/>
          <w:szCs w:val="24"/>
          <w:shd w:val="clear" w:color="auto" w:fill="FFFFFF"/>
          <w:lang w:val="es-ES"/>
        </w:rPr>
      </w:pPr>
    </w:p>
    <w:p w14:paraId="535E343C" w14:textId="43A31517" w:rsidR="00437409" w:rsidRPr="0040664C" w:rsidRDefault="004D140C" w:rsidP="00437409">
      <w:pPr>
        <w:ind w:right="50"/>
        <w:jc w:val="both"/>
        <w:rPr>
          <w:rFonts w:ascii="Arial Narrow" w:hAnsi="Arial Narrow" w:cs="Calibri"/>
          <w:bCs/>
          <w:sz w:val="24"/>
          <w:szCs w:val="24"/>
          <w:shd w:val="clear" w:color="auto" w:fill="FFFFFF"/>
          <w:lang w:val="es-ES"/>
        </w:rPr>
      </w:pPr>
      <w:r>
        <w:rPr>
          <w:rFonts w:ascii="Arial Narrow" w:hAnsi="Arial Narrow" w:cs="Calibri"/>
          <w:bCs/>
          <w:sz w:val="24"/>
          <w:szCs w:val="24"/>
          <w:shd w:val="clear" w:color="auto" w:fill="FFFFFF"/>
          <w:lang w:val="es-ES"/>
        </w:rPr>
        <w:t xml:space="preserve">Que no obstante lo anterior, </w:t>
      </w:r>
      <w:r w:rsidR="000D38EF">
        <w:rPr>
          <w:rFonts w:ascii="Arial Narrow" w:hAnsi="Arial Narrow" w:cs="Calibri"/>
          <w:bCs/>
          <w:sz w:val="24"/>
          <w:szCs w:val="24"/>
          <w:shd w:val="clear" w:color="auto" w:fill="FFFFFF"/>
          <w:lang w:val="es-ES"/>
        </w:rPr>
        <w:t xml:space="preserve">y atendiendo que según </w:t>
      </w:r>
      <w:r w:rsidR="000F4D4F">
        <w:rPr>
          <w:rFonts w:ascii="Arial Narrow" w:hAnsi="Arial Narrow" w:cs="Calibri"/>
          <w:bCs/>
          <w:sz w:val="24"/>
          <w:szCs w:val="24"/>
          <w:shd w:val="clear" w:color="auto" w:fill="FFFFFF"/>
          <w:lang w:val="es-ES"/>
        </w:rPr>
        <w:t>lo establecido en</w:t>
      </w:r>
      <w:r>
        <w:rPr>
          <w:rFonts w:ascii="Arial Narrow" w:hAnsi="Arial Narrow" w:cs="Calibri"/>
          <w:bCs/>
          <w:sz w:val="24"/>
          <w:szCs w:val="24"/>
          <w:shd w:val="clear" w:color="auto" w:fill="FFFFFF"/>
          <w:lang w:val="es-ES"/>
        </w:rPr>
        <w:t xml:space="preserve"> el numeral 1 del artículo 6 del Decreto</w:t>
      </w:r>
      <w:r w:rsidR="000D38EF">
        <w:rPr>
          <w:rFonts w:ascii="Arial Narrow" w:hAnsi="Arial Narrow" w:cs="Calibri"/>
          <w:bCs/>
          <w:sz w:val="24"/>
          <w:szCs w:val="24"/>
          <w:shd w:val="clear" w:color="auto" w:fill="FFFFFF"/>
          <w:lang w:val="es-ES"/>
        </w:rPr>
        <w:t xml:space="preserve"> precitado, si la respues</w:t>
      </w:r>
      <w:r w:rsidR="000F4D4F">
        <w:rPr>
          <w:rFonts w:ascii="Arial Narrow" w:hAnsi="Arial Narrow" w:cs="Calibri"/>
          <w:bCs/>
          <w:sz w:val="24"/>
          <w:szCs w:val="24"/>
          <w:shd w:val="clear" w:color="auto" w:fill="FFFFFF"/>
          <w:lang w:val="es-ES"/>
        </w:rPr>
        <w:t>ta al conjunto del cuestionario</w:t>
      </w:r>
      <w:r w:rsidR="000D38EF">
        <w:rPr>
          <w:rFonts w:ascii="Arial Narrow" w:hAnsi="Arial Narrow" w:cs="Calibri"/>
          <w:bCs/>
          <w:sz w:val="24"/>
          <w:szCs w:val="24"/>
          <w:shd w:val="clear" w:color="auto" w:fill="FFFFFF"/>
          <w:lang w:val="es-ES"/>
        </w:rPr>
        <w:t xml:space="preserve"> </w:t>
      </w:r>
      <w:r w:rsidR="000F4D4F">
        <w:rPr>
          <w:rFonts w:ascii="Arial Narrow" w:hAnsi="Arial Narrow" w:cs="Calibri"/>
          <w:bCs/>
          <w:sz w:val="24"/>
          <w:szCs w:val="24"/>
          <w:shd w:val="clear" w:color="auto" w:fill="FFFFFF"/>
          <w:lang w:val="es-ES"/>
        </w:rPr>
        <w:t>resulta negativa,</w:t>
      </w:r>
      <w:r w:rsidR="000D38EF">
        <w:rPr>
          <w:rFonts w:ascii="Arial Narrow" w:hAnsi="Arial Narrow" w:cs="Calibri"/>
          <w:bCs/>
          <w:sz w:val="24"/>
          <w:szCs w:val="24"/>
          <w:shd w:val="clear" w:color="auto" w:fill="FFFFFF"/>
          <w:lang w:val="es-ES"/>
        </w:rPr>
        <w:t xml:space="preserve"> en todo caso es potestativo de la autoridad que emite la resolución el envío de la misma a la Superintendencia</w:t>
      </w:r>
      <w:r w:rsidR="003B6999">
        <w:rPr>
          <w:rFonts w:ascii="Arial Narrow" w:hAnsi="Arial Narrow" w:cs="Calibri"/>
          <w:bCs/>
          <w:sz w:val="24"/>
          <w:szCs w:val="24"/>
          <w:shd w:val="clear" w:color="auto" w:fill="FFFFFF"/>
          <w:lang w:val="es-ES"/>
        </w:rPr>
        <w:t xml:space="preserve"> de Industria y Comercio. En ese sentido,</w:t>
      </w:r>
      <w:r w:rsidR="00437409" w:rsidRPr="0040664C">
        <w:rPr>
          <w:rFonts w:ascii="Arial Narrow" w:hAnsi="Arial Narrow" w:cs="Calibri"/>
          <w:bCs/>
          <w:sz w:val="24"/>
          <w:szCs w:val="24"/>
          <w:shd w:val="clear" w:color="auto" w:fill="FFFFFF"/>
          <w:lang w:val="es-ES"/>
        </w:rPr>
        <w:t xml:space="preserve"> el proyecto del presente acto administrativo fue remitido al Superintendente Delegado para la Protección a la Competencia de la Superintendencia de Industria y Comercio, a través de la comunicación </w:t>
      </w:r>
      <w:proofErr w:type="spellStart"/>
      <w:r w:rsidR="0040664C" w:rsidRPr="0040664C">
        <w:rPr>
          <w:rFonts w:ascii="Arial Narrow" w:hAnsi="Arial Narrow" w:cs="Calibri"/>
          <w:bCs/>
          <w:sz w:val="24"/>
          <w:szCs w:val="24"/>
          <w:shd w:val="clear" w:color="auto" w:fill="FFFFFF"/>
          <w:lang w:val="es-ES"/>
        </w:rPr>
        <w:t>xxxxxxxx</w:t>
      </w:r>
      <w:proofErr w:type="spellEnd"/>
      <w:r w:rsidR="00437409" w:rsidRPr="0040664C">
        <w:rPr>
          <w:rFonts w:ascii="Arial Narrow" w:hAnsi="Arial Narrow" w:cs="Calibri"/>
          <w:bCs/>
          <w:sz w:val="24"/>
          <w:szCs w:val="24"/>
          <w:shd w:val="clear" w:color="auto" w:fill="FFFFFF"/>
          <w:lang w:val="es-ES"/>
        </w:rPr>
        <w:t xml:space="preserve"> del </w:t>
      </w:r>
      <w:r w:rsidR="0040664C" w:rsidRPr="0040664C">
        <w:rPr>
          <w:rFonts w:ascii="Arial Narrow" w:hAnsi="Arial Narrow" w:cs="Calibri"/>
          <w:bCs/>
          <w:sz w:val="24"/>
          <w:szCs w:val="24"/>
          <w:shd w:val="clear" w:color="auto" w:fill="FFFFFF"/>
          <w:lang w:val="es-ES"/>
        </w:rPr>
        <w:t xml:space="preserve">xx </w:t>
      </w:r>
      <w:r w:rsidR="00437409" w:rsidRPr="0040664C">
        <w:rPr>
          <w:rFonts w:ascii="Arial Narrow" w:hAnsi="Arial Narrow" w:cs="Calibri"/>
          <w:bCs/>
          <w:sz w:val="24"/>
          <w:szCs w:val="24"/>
          <w:shd w:val="clear" w:color="auto" w:fill="FFFFFF"/>
          <w:lang w:val="es-ES"/>
        </w:rPr>
        <w:t xml:space="preserve">de </w:t>
      </w:r>
      <w:r w:rsidR="0040664C" w:rsidRPr="0040664C">
        <w:rPr>
          <w:rFonts w:ascii="Arial Narrow" w:hAnsi="Arial Narrow" w:cs="Calibri"/>
          <w:bCs/>
          <w:sz w:val="24"/>
          <w:szCs w:val="24"/>
          <w:shd w:val="clear" w:color="auto" w:fill="FFFFFF"/>
          <w:lang w:val="es-ES"/>
        </w:rPr>
        <w:t>xxx</w:t>
      </w:r>
      <w:r w:rsidR="00437409" w:rsidRPr="0040664C">
        <w:rPr>
          <w:rFonts w:ascii="Arial Narrow" w:hAnsi="Arial Narrow" w:cs="Calibri"/>
          <w:bCs/>
          <w:sz w:val="24"/>
          <w:szCs w:val="24"/>
          <w:shd w:val="clear" w:color="auto" w:fill="FFFFFF"/>
          <w:lang w:val="es-ES"/>
        </w:rPr>
        <w:t xml:space="preserve"> de </w:t>
      </w:r>
      <w:proofErr w:type="spellStart"/>
      <w:r w:rsidR="0040664C" w:rsidRPr="0040664C">
        <w:rPr>
          <w:rFonts w:ascii="Arial Narrow" w:hAnsi="Arial Narrow" w:cs="Calibri"/>
          <w:bCs/>
          <w:sz w:val="24"/>
          <w:szCs w:val="24"/>
          <w:shd w:val="clear" w:color="auto" w:fill="FFFFFF"/>
          <w:lang w:val="es-ES"/>
        </w:rPr>
        <w:t>xxxx</w:t>
      </w:r>
      <w:proofErr w:type="spellEnd"/>
      <w:r w:rsidR="000D38EF">
        <w:rPr>
          <w:rFonts w:ascii="Arial Narrow" w:hAnsi="Arial Narrow" w:cs="Calibri"/>
          <w:bCs/>
          <w:sz w:val="24"/>
          <w:szCs w:val="24"/>
          <w:shd w:val="clear" w:color="auto" w:fill="FFFFFF"/>
          <w:lang w:val="es-ES"/>
        </w:rPr>
        <w:t>.</w:t>
      </w:r>
      <w:r w:rsidR="009A27C1">
        <w:rPr>
          <w:rFonts w:ascii="Arial Narrow" w:hAnsi="Arial Narrow" w:cs="Calibri"/>
          <w:bCs/>
          <w:sz w:val="24"/>
          <w:szCs w:val="24"/>
          <w:shd w:val="clear" w:color="auto" w:fill="FFFFFF"/>
          <w:lang w:val="es-ES"/>
        </w:rPr>
        <w:t xml:space="preserve">, </w:t>
      </w:r>
      <w:r w:rsidR="00437409" w:rsidRPr="0040664C">
        <w:rPr>
          <w:rFonts w:ascii="Arial Narrow" w:hAnsi="Arial Narrow" w:cs="Calibri"/>
          <w:bCs/>
          <w:sz w:val="24"/>
          <w:szCs w:val="24"/>
          <w:shd w:val="clear" w:color="auto" w:fill="FFFFFF"/>
          <w:lang w:val="es-ES"/>
        </w:rPr>
        <w:t xml:space="preserve">quien consideró </w:t>
      </w:r>
      <w:r w:rsidR="009A27C1">
        <w:rPr>
          <w:rFonts w:ascii="Arial Narrow" w:hAnsi="Arial Narrow" w:cs="Calibri"/>
          <w:bCs/>
          <w:sz w:val="24"/>
          <w:szCs w:val="24"/>
          <w:shd w:val="clear" w:color="auto" w:fill="FFFFFF"/>
          <w:lang w:val="es-ES"/>
        </w:rPr>
        <w:t>xxx</w:t>
      </w:r>
      <w:r w:rsidR="00145DA7">
        <w:rPr>
          <w:rFonts w:ascii="Arial Narrow" w:hAnsi="Arial Narrow" w:cs="Calibri"/>
          <w:bCs/>
          <w:sz w:val="24"/>
          <w:szCs w:val="24"/>
          <w:shd w:val="clear" w:color="auto" w:fill="FFFFFF"/>
          <w:lang w:val="es-ES"/>
        </w:rPr>
        <w:t>.</w:t>
      </w:r>
      <w:bookmarkStart w:id="0" w:name="_GoBack"/>
      <w:bookmarkEnd w:id="0"/>
    </w:p>
    <w:p w14:paraId="6006BFFB" w14:textId="77777777" w:rsidR="00437409" w:rsidRPr="0040664C" w:rsidRDefault="00437409" w:rsidP="00437409">
      <w:pPr>
        <w:ind w:right="50"/>
        <w:rPr>
          <w:rFonts w:ascii="Arial Narrow" w:hAnsi="Arial Narrow" w:cs="Calibri"/>
          <w:sz w:val="24"/>
          <w:szCs w:val="24"/>
          <w:shd w:val="clear" w:color="auto" w:fill="FFFFFF"/>
          <w:lang w:val="es-CO"/>
        </w:rPr>
      </w:pPr>
    </w:p>
    <w:p w14:paraId="7DFFE662" w14:textId="77777777" w:rsidR="00437409" w:rsidRPr="0060070A" w:rsidRDefault="00437409" w:rsidP="00437409">
      <w:pPr>
        <w:ind w:right="50"/>
        <w:jc w:val="both"/>
        <w:rPr>
          <w:rFonts w:ascii="Arial Narrow" w:hAnsi="Arial Narrow" w:cs="Calibri"/>
          <w:bCs/>
          <w:sz w:val="24"/>
          <w:szCs w:val="24"/>
          <w:shd w:val="clear" w:color="auto" w:fill="FFFFFF"/>
          <w:lang w:val="es-ES"/>
        </w:rPr>
      </w:pPr>
      <w:r w:rsidRPr="0040664C">
        <w:rPr>
          <w:rFonts w:ascii="Arial Narrow" w:hAnsi="Arial Narrow" w:cs="Calibri"/>
          <w:bCs/>
          <w:sz w:val="24"/>
          <w:szCs w:val="24"/>
          <w:shd w:val="clear" w:color="auto" w:fill="FFFFFF"/>
          <w:lang w:val="es-ES"/>
        </w:rPr>
        <w:t xml:space="preserve">Que en cumplimiento de lo establecido en el numeral 8 del artículo 8 del Código de Procedimiento Administrativo y de lo Contencioso Administrativo – C.P.A.C.A - (Ley 1437 de 2011), el proyecto del presente acto </w:t>
      </w:r>
      <w:r w:rsidRPr="000F4D4F">
        <w:rPr>
          <w:rFonts w:ascii="Arial Narrow" w:hAnsi="Arial Narrow" w:cs="Calibri"/>
          <w:bCs/>
          <w:sz w:val="24"/>
          <w:szCs w:val="24"/>
          <w:shd w:val="clear" w:color="auto" w:fill="FFFFFF"/>
          <w:lang w:val="es-ES"/>
        </w:rPr>
        <w:t xml:space="preserve">administrativo </w:t>
      </w:r>
      <w:r w:rsidRPr="000F4D4F">
        <w:rPr>
          <w:rFonts w:ascii="Arial Narrow" w:hAnsi="Arial Narrow" w:cs="Calibri"/>
          <w:bCs/>
          <w:sz w:val="24"/>
          <w:szCs w:val="24"/>
          <w:shd w:val="clear" w:color="auto" w:fill="FFFFFF"/>
          <w:lang w:val="es-CO"/>
        </w:rPr>
        <w:t xml:space="preserve">fue socializado mediante </w:t>
      </w:r>
      <w:r w:rsidRPr="000F4D4F">
        <w:rPr>
          <w:rFonts w:ascii="Arial Narrow" w:hAnsi="Arial Narrow" w:cs="Calibri"/>
          <w:bCs/>
          <w:sz w:val="24"/>
          <w:szCs w:val="24"/>
          <w:shd w:val="clear" w:color="auto" w:fill="FFFFFF"/>
          <w:lang w:val="es-ES"/>
        </w:rPr>
        <w:t>publicación en la página web de la Superintendencia de Transporte y se recibieron los respectivos comentarios y sugerencias, los cuales fueron tenidos en cuenta previa evaluación de su pertinencia en beneficio del interés general.</w:t>
      </w:r>
    </w:p>
    <w:p w14:paraId="5D363483" w14:textId="77777777" w:rsidR="00437409" w:rsidRPr="0060070A" w:rsidRDefault="00437409" w:rsidP="00437409">
      <w:pPr>
        <w:ind w:right="50"/>
        <w:rPr>
          <w:rFonts w:ascii="Arial Narrow" w:hAnsi="Arial Narrow" w:cs="Calibri"/>
          <w:sz w:val="24"/>
          <w:szCs w:val="24"/>
          <w:shd w:val="clear" w:color="auto" w:fill="FFFFFF"/>
          <w:lang w:val="es-ES"/>
        </w:rPr>
      </w:pPr>
    </w:p>
    <w:p w14:paraId="038969A0" w14:textId="75F237EE" w:rsidR="00734D8A" w:rsidRDefault="00437409" w:rsidP="00437409">
      <w:pPr>
        <w:ind w:right="50"/>
        <w:rPr>
          <w:rFonts w:ascii="Arial Narrow" w:hAnsi="Arial Narrow" w:cs="Calibri"/>
          <w:sz w:val="24"/>
          <w:szCs w:val="24"/>
          <w:shd w:val="clear" w:color="auto" w:fill="FFFFFF"/>
        </w:rPr>
      </w:pPr>
      <w:r w:rsidRPr="0060070A">
        <w:rPr>
          <w:rFonts w:ascii="Arial Narrow" w:hAnsi="Arial Narrow" w:cs="Calibri"/>
          <w:sz w:val="24"/>
          <w:szCs w:val="24"/>
          <w:shd w:val="clear" w:color="auto" w:fill="FFFFFF"/>
        </w:rPr>
        <w:t>Que en virtud de lo anterior</w:t>
      </w:r>
      <w:r w:rsidR="00466B8C">
        <w:rPr>
          <w:rFonts w:ascii="Arial Narrow" w:hAnsi="Arial Narrow" w:cs="Calibri"/>
          <w:sz w:val="24"/>
          <w:szCs w:val="24"/>
          <w:shd w:val="clear" w:color="auto" w:fill="FFFFFF"/>
        </w:rPr>
        <w:t>:</w:t>
      </w:r>
    </w:p>
    <w:p w14:paraId="7805ADE2" w14:textId="77777777" w:rsidR="00466B8C" w:rsidRPr="0060070A" w:rsidRDefault="00466B8C" w:rsidP="00437409">
      <w:pPr>
        <w:ind w:right="50"/>
        <w:rPr>
          <w:rFonts w:ascii="Arial Narrow" w:hAnsi="Arial Narrow" w:cs="Calibri"/>
          <w:sz w:val="24"/>
          <w:szCs w:val="24"/>
          <w:shd w:val="clear" w:color="auto" w:fill="FFFFFF"/>
        </w:rPr>
      </w:pPr>
    </w:p>
    <w:p w14:paraId="49A5BF0B" w14:textId="77777777" w:rsidR="00F357AC" w:rsidRDefault="00F357AC" w:rsidP="004C2D56">
      <w:pPr>
        <w:ind w:right="50"/>
        <w:rPr>
          <w:rFonts w:ascii="Arial Narrow" w:hAnsi="Arial Narrow" w:cs="Calibri"/>
          <w:b/>
          <w:sz w:val="24"/>
          <w:szCs w:val="24"/>
          <w:shd w:val="clear" w:color="auto" w:fill="FFFFFF"/>
        </w:rPr>
      </w:pPr>
    </w:p>
    <w:p w14:paraId="769EF15E" w14:textId="77777777" w:rsidR="00437409" w:rsidRPr="0060070A" w:rsidRDefault="00437409" w:rsidP="00437409">
      <w:pPr>
        <w:ind w:right="50"/>
        <w:jc w:val="center"/>
        <w:rPr>
          <w:rFonts w:ascii="Arial Narrow" w:hAnsi="Arial Narrow" w:cs="Calibri"/>
          <w:b/>
          <w:sz w:val="24"/>
          <w:szCs w:val="24"/>
          <w:shd w:val="clear" w:color="auto" w:fill="FFFFFF"/>
        </w:rPr>
      </w:pPr>
      <w:r w:rsidRPr="0060070A">
        <w:rPr>
          <w:rFonts w:ascii="Arial Narrow" w:hAnsi="Arial Narrow" w:cs="Calibri"/>
          <w:b/>
          <w:sz w:val="24"/>
          <w:szCs w:val="24"/>
          <w:shd w:val="clear" w:color="auto" w:fill="FFFFFF"/>
        </w:rPr>
        <w:t>RESUELVE</w:t>
      </w:r>
    </w:p>
    <w:p w14:paraId="4A9EA453" w14:textId="77777777" w:rsidR="00437409" w:rsidRPr="0060070A" w:rsidRDefault="00437409" w:rsidP="00437409">
      <w:pPr>
        <w:ind w:right="50"/>
        <w:rPr>
          <w:rFonts w:ascii="Arial Narrow" w:hAnsi="Arial Narrow" w:cs="Calibri"/>
          <w:b/>
          <w:sz w:val="24"/>
          <w:szCs w:val="24"/>
          <w:shd w:val="clear" w:color="auto" w:fill="FFFFFF"/>
        </w:rPr>
      </w:pPr>
    </w:p>
    <w:p w14:paraId="4312E3B0" w14:textId="77777777" w:rsidR="00437409" w:rsidRPr="0060070A" w:rsidRDefault="00437409" w:rsidP="00437409">
      <w:pPr>
        <w:ind w:right="50"/>
        <w:jc w:val="both"/>
        <w:rPr>
          <w:rFonts w:ascii="Arial Narrow" w:hAnsi="Arial Narrow" w:cs="Calibri"/>
          <w:sz w:val="24"/>
          <w:szCs w:val="24"/>
          <w:shd w:val="clear" w:color="auto" w:fill="FFFFFF"/>
        </w:rPr>
      </w:pPr>
      <w:r w:rsidRPr="0060070A">
        <w:rPr>
          <w:rFonts w:ascii="Arial Narrow" w:hAnsi="Arial Narrow" w:cs="Calibri"/>
          <w:b/>
          <w:sz w:val="24"/>
          <w:szCs w:val="24"/>
          <w:shd w:val="clear" w:color="auto" w:fill="FFFFFF"/>
        </w:rPr>
        <w:t>Artículo Primero: Ámbito de aplicación:</w:t>
      </w:r>
      <w:r w:rsidRPr="0060070A">
        <w:rPr>
          <w:rFonts w:ascii="Arial Narrow" w:hAnsi="Arial Narrow" w:cs="Calibri"/>
          <w:sz w:val="24"/>
          <w:szCs w:val="24"/>
          <w:shd w:val="clear" w:color="auto" w:fill="FFFFFF"/>
        </w:rPr>
        <w:t xml:space="preserve"> La presente Resolución aplica a los sujetos que están sometidos a vigilancia, inspección y control de la Superintendencia de Transporte, para el pago de la Contribución Especial de Vigilancia </w:t>
      </w:r>
      <w:r w:rsidR="0060070A" w:rsidRPr="0060070A">
        <w:rPr>
          <w:rFonts w:ascii="Arial Narrow" w:hAnsi="Arial Narrow" w:cs="Calibri"/>
          <w:sz w:val="24"/>
          <w:szCs w:val="24"/>
          <w:shd w:val="clear" w:color="auto" w:fill="FFFFFF"/>
        </w:rPr>
        <w:t>correspondiente al año 2020</w:t>
      </w:r>
      <w:r w:rsidRPr="0060070A">
        <w:rPr>
          <w:rFonts w:ascii="Arial Narrow" w:hAnsi="Arial Narrow" w:cs="Calibri"/>
          <w:sz w:val="24"/>
          <w:szCs w:val="24"/>
          <w:shd w:val="clear" w:color="auto" w:fill="FFFFFF"/>
        </w:rPr>
        <w:t xml:space="preserve">, a favor de esta entidad. </w:t>
      </w:r>
    </w:p>
    <w:p w14:paraId="46B5A11E" w14:textId="77777777" w:rsidR="00437409" w:rsidRPr="0060070A" w:rsidRDefault="00437409" w:rsidP="00437409">
      <w:pPr>
        <w:ind w:right="50"/>
        <w:rPr>
          <w:rFonts w:ascii="Arial Narrow" w:hAnsi="Arial Narrow" w:cs="Calibri"/>
          <w:sz w:val="24"/>
          <w:szCs w:val="24"/>
          <w:shd w:val="clear" w:color="auto" w:fill="FFFFFF"/>
        </w:rPr>
      </w:pPr>
    </w:p>
    <w:p w14:paraId="40F2CEFF" w14:textId="77777777" w:rsidR="00437409" w:rsidRPr="0060070A" w:rsidRDefault="00437409" w:rsidP="00437409">
      <w:pPr>
        <w:ind w:right="50"/>
        <w:jc w:val="both"/>
        <w:rPr>
          <w:rFonts w:ascii="Arial Narrow" w:hAnsi="Arial Narrow" w:cs="Calibri"/>
          <w:sz w:val="24"/>
          <w:szCs w:val="24"/>
          <w:shd w:val="clear" w:color="auto" w:fill="FFFFFF"/>
        </w:rPr>
      </w:pPr>
      <w:r w:rsidRPr="0060070A">
        <w:rPr>
          <w:rFonts w:ascii="Arial Narrow" w:hAnsi="Arial Narrow" w:cs="Calibri"/>
          <w:b/>
          <w:sz w:val="24"/>
          <w:szCs w:val="24"/>
          <w:shd w:val="clear" w:color="auto" w:fill="FFFFFF"/>
        </w:rPr>
        <w:t xml:space="preserve">Artículo Segundo: Tarifas diferenciales: </w:t>
      </w:r>
      <w:r w:rsidRPr="0060070A">
        <w:rPr>
          <w:rFonts w:ascii="Arial Narrow" w:hAnsi="Arial Narrow" w:cs="Calibri"/>
          <w:sz w:val="24"/>
          <w:szCs w:val="24"/>
          <w:shd w:val="clear" w:color="auto" w:fill="FFFFFF"/>
        </w:rPr>
        <w:t>Fíjense las siguientes tarifas diferenciales de la Contribución Especial de Vigilan</w:t>
      </w:r>
      <w:r w:rsidR="0060070A" w:rsidRPr="0060070A">
        <w:rPr>
          <w:rFonts w:ascii="Arial Narrow" w:hAnsi="Arial Narrow" w:cs="Calibri"/>
          <w:sz w:val="24"/>
          <w:szCs w:val="24"/>
          <w:shd w:val="clear" w:color="auto" w:fill="FFFFFF"/>
        </w:rPr>
        <w:t>cia para la vigencia fiscal 2020</w:t>
      </w:r>
      <w:r w:rsidRPr="0060070A">
        <w:rPr>
          <w:rFonts w:ascii="Arial Narrow" w:hAnsi="Arial Narrow" w:cs="Calibri"/>
          <w:sz w:val="24"/>
          <w:szCs w:val="24"/>
          <w:shd w:val="clear" w:color="auto" w:fill="FFFFFF"/>
        </w:rPr>
        <w:t>, que deben pagar los sujetos sometidos a la vigilancia, inspección y control que ejerce la Superintendencia de Transporte, de acuerdo con el tipo de vigilancia que se ejerza:</w:t>
      </w:r>
    </w:p>
    <w:p w14:paraId="3DFBD0F9" w14:textId="77777777" w:rsidR="00437409" w:rsidRPr="00A0456E" w:rsidRDefault="00437409" w:rsidP="00437409">
      <w:pPr>
        <w:ind w:right="50"/>
        <w:rPr>
          <w:rFonts w:ascii="Arial Narrow" w:hAnsi="Arial Narrow" w:cs="Calibri"/>
          <w:sz w:val="24"/>
          <w:szCs w:val="24"/>
          <w:shd w:val="clear" w:color="auto" w:fill="FFFFFF"/>
        </w:rPr>
      </w:pPr>
    </w:p>
    <w:p w14:paraId="7B75E6DB" w14:textId="77777777" w:rsidR="00714B23" w:rsidRPr="00C74520" w:rsidRDefault="00714B23" w:rsidP="00714B23">
      <w:pPr>
        <w:pStyle w:val="Prrafodelista"/>
        <w:numPr>
          <w:ilvl w:val="1"/>
          <w:numId w:val="4"/>
        </w:numPr>
        <w:ind w:left="1134" w:right="50" w:hanging="567"/>
        <w:jc w:val="both"/>
        <w:rPr>
          <w:rFonts w:ascii="Arial Narrow" w:hAnsi="Arial Narrow" w:cs="Calibri"/>
          <w:szCs w:val="24"/>
          <w:shd w:val="clear" w:color="auto" w:fill="FFFFFF"/>
        </w:rPr>
      </w:pPr>
      <w:r w:rsidRPr="00A0456E">
        <w:rPr>
          <w:rFonts w:ascii="Arial Narrow" w:hAnsi="Arial Narrow" w:cs="Calibri"/>
          <w:szCs w:val="24"/>
          <w:shd w:val="clear" w:color="auto" w:fill="FFFFFF"/>
          <w:lang w:val="es-ES"/>
        </w:rPr>
        <w:t xml:space="preserve">Para </w:t>
      </w:r>
      <w:r w:rsidRPr="00A0456E">
        <w:rPr>
          <w:rFonts w:ascii="Arial Narrow" w:hAnsi="Arial Narrow" w:cs="Calibri"/>
          <w:szCs w:val="24"/>
          <w:shd w:val="clear" w:color="auto" w:fill="FFFFFF"/>
        </w:rPr>
        <w:t xml:space="preserve">los sujetos a </w:t>
      </w:r>
      <w:r w:rsidRPr="00A0456E">
        <w:rPr>
          <w:rFonts w:ascii="Arial Narrow" w:hAnsi="Arial Narrow" w:cs="Calibri"/>
          <w:b/>
          <w:szCs w:val="24"/>
          <w:shd w:val="clear" w:color="auto" w:fill="FFFFFF"/>
        </w:rPr>
        <w:t>supervisión integral</w:t>
      </w:r>
      <w:r w:rsidRPr="00C74520">
        <w:rPr>
          <w:rFonts w:ascii="Arial Narrow" w:hAnsi="Arial Narrow" w:cs="Calibri"/>
          <w:szCs w:val="24"/>
          <w:shd w:val="clear" w:color="auto" w:fill="FFFFFF"/>
        </w:rPr>
        <w:t xml:space="preserve">, el </w:t>
      </w:r>
      <w:r w:rsidRPr="00C74520">
        <w:rPr>
          <w:rFonts w:ascii="Arial Narrow" w:hAnsi="Arial Narrow" w:cs="Calibri"/>
          <w:b/>
          <w:szCs w:val="24"/>
          <w:shd w:val="clear" w:color="auto" w:fill="FFFFFF"/>
        </w:rPr>
        <w:t>0.1298%</w:t>
      </w:r>
      <w:r w:rsidRPr="00C74520">
        <w:rPr>
          <w:rFonts w:ascii="Arial Narrow" w:hAnsi="Arial Narrow" w:cs="Calibri"/>
          <w:szCs w:val="24"/>
          <w:shd w:val="clear" w:color="auto" w:fill="FFFFFF"/>
        </w:rPr>
        <w:t xml:space="preserve"> </w:t>
      </w:r>
      <w:r w:rsidRPr="00C74520">
        <w:rPr>
          <w:rFonts w:ascii="Arial Narrow" w:hAnsi="Arial Narrow" w:cs="Calibri"/>
          <w:b/>
          <w:szCs w:val="24"/>
          <w:shd w:val="clear" w:color="auto" w:fill="FFFFFF"/>
        </w:rPr>
        <w:t xml:space="preserve">% </w:t>
      </w:r>
      <w:r w:rsidRPr="00C74520">
        <w:rPr>
          <w:rFonts w:ascii="Arial Narrow" w:hAnsi="Arial Narrow" w:cs="Calibri"/>
          <w:szCs w:val="24"/>
          <w:shd w:val="clear" w:color="auto" w:fill="FFFFFF"/>
        </w:rPr>
        <w:t>de los ingresos brutos percibidos en la vigencia 2019 derivados de las actividades relacionadas con el tránsito, transporte, su infraestructura o sus servicios conexos y complementarios.</w:t>
      </w:r>
    </w:p>
    <w:p w14:paraId="75265BDD" w14:textId="77777777" w:rsidR="00714B23" w:rsidRPr="00C74520" w:rsidRDefault="00714B23" w:rsidP="00714B23">
      <w:pPr>
        <w:ind w:left="1134" w:right="50" w:hanging="567"/>
        <w:jc w:val="both"/>
        <w:rPr>
          <w:rFonts w:ascii="Arial Narrow" w:hAnsi="Arial Narrow" w:cs="Calibri"/>
          <w:sz w:val="24"/>
          <w:szCs w:val="24"/>
          <w:shd w:val="clear" w:color="auto" w:fill="FFFFFF"/>
        </w:rPr>
      </w:pPr>
    </w:p>
    <w:p w14:paraId="5B9F144F" w14:textId="57053AC7" w:rsidR="00714B23" w:rsidRPr="00C74520" w:rsidRDefault="00714B23" w:rsidP="00714B23">
      <w:pPr>
        <w:pStyle w:val="Prrafodelista"/>
        <w:numPr>
          <w:ilvl w:val="1"/>
          <w:numId w:val="4"/>
        </w:numPr>
        <w:ind w:left="1134" w:right="50" w:hanging="567"/>
        <w:jc w:val="both"/>
        <w:rPr>
          <w:rFonts w:ascii="Arial Narrow" w:hAnsi="Arial Narrow" w:cs="Calibri"/>
          <w:szCs w:val="24"/>
          <w:shd w:val="clear" w:color="auto" w:fill="FFFFFF"/>
        </w:rPr>
      </w:pPr>
      <w:r w:rsidRPr="00C74520">
        <w:rPr>
          <w:rFonts w:ascii="Arial Narrow" w:hAnsi="Arial Narrow" w:cs="Calibri"/>
          <w:szCs w:val="24"/>
          <w:shd w:val="clear" w:color="auto" w:fill="FFFFFF"/>
        </w:rPr>
        <w:t xml:space="preserve">Para los sujetos a </w:t>
      </w:r>
      <w:r w:rsidRPr="00C74520">
        <w:rPr>
          <w:rFonts w:ascii="Arial Narrow" w:hAnsi="Arial Narrow" w:cs="Calibri"/>
          <w:b/>
          <w:szCs w:val="24"/>
          <w:shd w:val="clear" w:color="auto" w:fill="FFFFFF"/>
        </w:rPr>
        <w:t>supervisión</w:t>
      </w:r>
      <w:r w:rsidRPr="00C74520">
        <w:rPr>
          <w:rFonts w:ascii="Arial Narrow" w:hAnsi="Arial Narrow" w:cs="Calibri"/>
          <w:szCs w:val="24"/>
          <w:shd w:val="clear" w:color="auto" w:fill="FFFFFF"/>
        </w:rPr>
        <w:t xml:space="preserve"> </w:t>
      </w:r>
      <w:r w:rsidRPr="00C74520">
        <w:rPr>
          <w:rFonts w:ascii="Arial Narrow" w:hAnsi="Arial Narrow" w:cs="Calibri"/>
          <w:b/>
          <w:szCs w:val="24"/>
          <w:shd w:val="clear" w:color="auto" w:fill="FFFFFF"/>
        </w:rPr>
        <w:t>objetiva</w:t>
      </w:r>
      <w:r w:rsidRPr="00C74520">
        <w:rPr>
          <w:rFonts w:ascii="Arial Narrow" w:hAnsi="Arial Narrow" w:cs="Calibri"/>
          <w:szCs w:val="24"/>
          <w:shd w:val="clear" w:color="auto" w:fill="FFFFFF"/>
        </w:rPr>
        <w:t xml:space="preserve">, el </w:t>
      </w:r>
      <w:r w:rsidR="007B1D75" w:rsidRPr="00C74520">
        <w:rPr>
          <w:rFonts w:ascii="Arial Narrow" w:hAnsi="Arial Narrow" w:cs="Calibri"/>
          <w:b/>
          <w:szCs w:val="24"/>
          <w:shd w:val="clear" w:color="auto" w:fill="FFFFFF"/>
        </w:rPr>
        <w:t>0.</w:t>
      </w:r>
      <w:r w:rsidR="007B1D75">
        <w:rPr>
          <w:rFonts w:ascii="Arial Narrow" w:hAnsi="Arial Narrow" w:cs="Calibri"/>
          <w:b/>
          <w:szCs w:val="24"/>
          <w:shd w:val="clear" w:color="auto" w:fill="FFFFFF"/>
        </w:rPr>
        <w:t>0753</w:t>
      </w:r>
      <w:r w:rsidR="007B1D75" w:rsidRPr="00C74520">
        <w:rPr>
          <w:rFonts w:ascii="Arial Narrow" w:hAnsi="Arial Narrow" w:cs="Calibri"/>
          <w:b/>
          <w:szCs w:val="24"/>
          <w:shd w:val="clear" w:color="auto" w:fill="FFFFFF"/>
        </w:rPr>
        <w:t xml:space="preserve">% </w:t>
      </w:r>
      <w:r w:rsidRPr="00C74520">
        <w:rPr>
          <w:rFonts w:ascii="Arial Narrow" w:hAnsi="Arial Narrow" w:cs="Calibri"/>
          <w:szCs w:val="24"/>
          <w:shd w:val="clear" w:color="auto" w:fill="FFFFFF"/>
        </w:rPr>
        <w:t>de los ingresos brutos percibidos en la vigencia 2019 derivados de las actividades relacionadas con el tránsito, transporte, su infraestructura o sus servicios conexos y complementarios.</w:t>
      </w:r>
    </w:p>
    <w:p w14:paraId="00DB119D" w14:textId="77777777" w:rsidR="00714B23" w:rsidRPr="00C74520" w:rsidRDefault="00714B23" w:rsidP="00714B23">
      <w:pPr>
        <w:pStyle w:val="Prrafodelista"/>
        <w:rPr>
          <w:rFonts w:ascii="Arial Narrow" w:hAnsi="Arial Narrow" w:cs="Calibri"/>
          <w:szCs w:val="24"/>
          <w:shd w:val="clear" w:color="auto" w:fill="FFFFFF"/>
        </w:rPr>
      </w:pPr>
    </w:p>
    <w:p w14:paraId="6F3F71A0" w14:textId="2C971E94" w:rsidR="00714B23" w:rsidRPr="00A0456E" w:rsidRDefault="00714B23" w:rsidP="00714B23">
      <w:pPr>
        <w:pStyle w:val="Prrafodelista"/>
        <w:numPr>
          <w:ilvl w:val="1"/>
          <w:numId w:val="4"/>
        </w:numPr>
        <w:ind w:left="1134" w:right="50" w:hanging="567"/>
        <w:jc w:val="both"/>
        <w:rPr>
          <w:rFonts w:ascii="Arial Narrow" w:hAnsi="Arial Narrow" w:cs="Calibri"/>
          <w:szCs w:val="24"/>
          <w:shd w:val="clear" w:color="auto" w:fill="FFFFFF"/>
        </w:rPr>
      </w:pPr>
      <w:r w:rsidRPr="00C74520">
        <w:rPr>
          <w:rFonts w:ascii="Arial Narrow" w:hAnsi="Arial Narrow" w:cs="Calibri"/>
          <w:szCs w:val="24"/>
          <w:shd w:val="clear" w:color="auto" w:fill="FFFFFF"/>
        </w:rPr>
        <w:t>Para los sujetos a</w:t>
      </w:r>
      <w:r w:rsidRPr="00C74520">
        <w:rPr>
          <w:rFonts w:ascii="Arial Narrow" w:hAnsi="Arial Narrow" w:cs="Calibri"/>
          <w:b/>
          <w:szCs w:val="24"/>
          <w:shd w:val="clear" w:color="auto" w:fill="FFFFFF"/>
        </w:rPr>
        <w:t xml:space="preserve"> supervisión</w:t>
      </w:r>
      <w:r w:rsidRPr="00C74520">
        <w:rPr>
          <w:rFonts w:ascii="Arial Narrow" w:hAnsi="Arial Narrow" w:cs="Calibri"/>
          <w:szCs w:val="24"/>
          <w:shd w:val="clear" w:color="auto" w:fill="FFFFFF"/>
        </w:rPr>
        <w:t xml:space="preserve"> </w:t>
      </w:r>
      <w:r w:rsidRPr="00C74520">
        <w:rPr>
          <w:rFonts w:ascii="Arial Narrow" w:hAnsi="Arial Narrow" w:cs="Calibri"/>
          <w:b/>
          <w:szCs w:val="24"/>
          <w:shd w:val="clear" w:color="auto" w:fill="FFFFFF"/>
        </w:rPr>
        <w:t>subjetiva</w:t>
      </w:r>
      <w:r w:rsidRPr="00C74520">
        <w:rPr>
          <w:rFonts w:ascii="Arial Narrow" w:hAnsi="Arial Narrow" w:cs="Calibri"/>
          <w:szCs w:val="24"/>
          <w:shd w:val="clear" w:color="auto" w:fill="FFFFFF"/>
        </w:rPr>
        <w:t xml:space="preserve">, el </w:t>
      </w:r>
      <w:r w:rsidR="007B1D75" w:rsidRPr="00C74520">
        <w:rPr>
          <w:rFonts w:ascii="Arial Narrow" w:hAnsi="Arial Narrow" w:cs="Calibri"/>
          <w:b/>
          <w:szCs w:val="24"/>
          <w:shd w:val="clear" w:color="auto" w:fill="FFFFFF"/>
        </w:rPr>
        <w:t>0.0</w:t>
      </w:r>
      <w:r w:rsidR="007B1D75">
        <w:rPr>
          <w:rFonts w:ascii="Arial Narrow" w:hAnsi="Arial Narrow" w:cs="Calibri"/>
          <w:b/>
          <w:szCs w:val="24"/>
          <w:shd w:val="clear" w:color="auto" w:fill="FFFFFF"/>
        </w:rPr>
        <w:t>545</w:t>
      </w:r>
      <w:r w:rsidR="007B1D75" w:rsidRPr="00C74520">
        <w:rPr>
          <w:rFonts w:ascii="Arial Narrow" w:hAnsi="Arial Narrow" w:cs="Calibri"/>
          <w:b/>
          <w:szCs w:val="24"/>
          <w:shd w:val="clear" w:color="auto" w:fill="FFFFFF"/>
        </w:rPr>
        <w:t xml:space="preserve">% </w:t>
      </w:r>
      <w:r w:rsidRPr="00C74520">
        <w:rPr>
          <w:rFonts w:ascii="Arial Narrow" w:hAnsi="Arial Narrow" w:cs="Calibri"/>
          <w:szCs w:val="24"/>
          <w:shd w:val="clear" w:color="auto" w:fill="FFFFFF"/>
        </w:rPr>
        <w:t>de los ingresos brutos percibidos en la vigencia 2019 derivados de las actividades relacionadas</w:t>
      </w:r>
      <w:r>
        <w:rPr>
          <w:rFonts w:ascii="Arial Narrow" w:hAnsi="Arial Narrow" w:cs="Calibri"/>
          <w:szCs w:val="24"/>
          <w:shd w:val="clear" w:color="auto" w:fill="FFFFFF"/>
        </w:rPr>
        <w:t xml:space="preserve"> con el tránsito, transporte, su infraestructura o sus servicios conexos y complementarios</w:t>
      </w:r>
      <w:r w:rsidRPr="00A0456E">
        <w:rPr>
          <w:rFonts w:ascii="Arial Narrow" w:hAnsi="Arial Narrow" w:cs="Calibri"/>
          <w:szCs w:val="24"/>
          <w:shd w:val="clear" w:color="auto" w:fill="FFFFFF"/>
        </w:rPr>
        <w:t>.</w:t>
      </w:r>
    </w:p>
    <w:p w14:paraId="7D054C1C" w14:textId="77777777" w:rsidR="00437409" w:rsidRPr="002B3EE9" w:rsidRDefault="00437409" w:rsidP="00437409">
      <w:pPr>
        <w:ind w:right="50"/>
        <w:rPr>
          <w:rFonts w:ascii="Arial Narrow" w:hAnsi="Arial Narrow" w:cs="Calibri"/>
          <w:sz w:val="24"/>
          <w:szCs w:val="24"/>
          <w:highlight w:val="yellow"/>
          <w:shd w:val="clear" w:color="auto" w:fill="FFFFFF"/>
        </w:rPr>
      </w:pPr>
    </w:p>
    <w:p w14:paraId="4F45C0A9" w14:textId="16279E21" w:rsidR="00437409" w:rsidRPr="0060070A" w:rsidRDefault="00437409" w:rsidP="00437409">
      <w:pPr>
        <w:ind w:right="50"/>
        <w:jc w:val="both"/>
        <w:rPr>
          <w:rFonts w:ascii="Arial Narrow" w:hAnsi="Arial Narrow" w:cs="Calibri"/>
          <w:sz w:val="24"/>
          <w:szCs w:val="24"/>
          <w:shd w:val="clear" w:color="auto" w:fill="FFFFFF"/>
        </w:rPr>
      </w:pPr>
      <w:r w:rsidRPr="0060070A">
        <w:rPr>
          <w:rFonts w:ascii="Arial Narrow" w:hAnsi="Arial Narrow" w:cs="Calibri"/>
          <w:b/>
          <w:sz w:val="24"/>
          <w:szCs w:val="24"/>
          <w:shd w:val="clear" w:color="auto" w:fill="FFFFFF"/>
        </w:rPr>
        <w:t>Artículo Tercero: Forma de Pago</w:t>
      </w:r>
      <w:r w:rsidR="007305FE">
        <w:rPr>
          <w:rFonts w:ascii="Arial Narrow" w:hAnsi="Arial Narrow" w:cs="Calibri"/>
          <w:b/>
          <w:sz w:val="24"/>
          <w:szCs w:val="24"/>
          <w:shd w:val="clear" w:color="auto" w:fill="FFFFFF"/>
        </w:rPr>
        <w:t xml:space="preserve"> y L</w:t>
      </w:r>
      <w:r w:rsidR="00857200">
        <w:rPr>
          <w:rFonts w:ascii="Arial Narrow" w:hAnsi="Arial Narrow" w:cs="Calibri"/>
          <w:b/>
          <w:sz w:val="24"/>
          <w:szCs w:val="24"/>
          <w:shd w:val="clear" w:color="auto" w:fill="FFFFFF"/>
        </w:rPr>
        <w:t xml:space="preserve">iquidación de </w:t>
      </w:r>
      <w:r w:rsidR="007305FE">
        <w:rPr>
          <w:rFonts w:ascii="Arial Narrow" w:hAnsi="Arial Narrow" w:cs="Calibri"/>
          <w:b/>
          <w:sz w:val="24"/>
          <w:szCs w:val="24"/>
          <w:shd w:val="clear" w:color="auto" w:fill="FFFFFF"/>
        </w:rPr>
        <w:t>C</w:t>
      </w:r>
      <w:r w:rsidR="00857200">
        <w:rPr>
          <w:rFonts w:ascii="Arial Narrow" w:hAnsi="Arial Narrow" w:cs="Calibri"/>
          <w:b/>
          <w:sz w:val="24"/>
          <w:szCs w:val="24"/>
          <w:shd w:val="clear" w:color="auto" w:fill="FFFFFF"/>
        </w:rPr>
        <w:t>uotas</w:t>
      </w:r>
      <w:r w:rsidRPr="0060070A">
        <w:rPr>
          <w:rFonts w:ascii="Arial Narrow" w:hAnsi="Arial Narrow" w:cs="Calibri"/>
          <w:b/>
          <w:sz w:val="24"/>
          <w:szCs w:val="24"/>
          <w:shd w:val="clear" w:color="auto" w:fill="FFFFFF"/>
        </w:rPr>
        <w:t xml:space="preserve"> </w:t>
      </w:r>
      <w:r w:rsidRPr="0060070A">
        <w:rPr>
          <w:rFonts w:ascii="Arial Narrow" w:hAnsi="Arial Narrow" w:cs="Calibri"/>
          <w:sz w:val="24"/>
          <w:szCs w:val="24"/>
          <w:shd w:val="clear" w:color="auto" w:fill="FFFFFF"/>
        </w:rPr>
        <w:t>La Contribución Especial de Vigilan</w:t>
      </w:r>
      <w:r w:rsidR="0060070A">
        <w:rPr>
          <w:rFonts w:ascii="Arial Narrow" w:hAnsi="Arial Narrow" w:cs="Calibri"/>
          <w:sz w:val="24"/>
          <w:szCs w:val="24"/>
          <w:shd w:val="clear" w:color="auto" w:fill="FFFFFF"/>
        </w:rPr>
        <w:t>cia para la vigencia fiscal 2020</w:t>
      </w:r>
      <w:r w:rsidRPr="0060070A">
        <w:rPr>
          <w:rFonts w:ascii="Arial Narrow" w:hAnsi="Arial Narrow" w:cs="Calibri"/>
          <w:sz w:val="24"/>
          <w:szCs w:val="24"/>
          <w:shd w:val="clear" w:color="auto" w:fill="FFFFFF"/>
        </w:rPr>
        <w:t xml:space="preserve"> a favor de la Superintendencia de Transporte se pagará en dos cuotas, que se liquidarán así:</w:t>
      </w:r>
    </w:p>
    <w:p w14:paraId="41FD0237" w14:textId="77777777" w:rsidR="00437409" w:rsidRPr="002B3EE9" w:rsidRDefault="00437409" w:rsidP="00437409">
      <w:pPr>
        <w:ind w:right="50"/>
        <w:rPr>
          <w:rFonts w:ascii="Arial Narrow" w:hAnsi="Arial Narrow" w:cs="Calibri"/>
          <w:sz w:val="24"/>
          <w:szCs w:val="24"/>
          <w:highlight w:val="yellow"/>
          <w:shd w:val="clear" w:color="auto" w:fill="FFFFFF"/>
        </w:rPr>
      </w:pPr>
    </w:p>
    <w:p w14:paraId="224AC442" w14:textId="5FF3A930" w:rsidR="00437409" w:rsidRPr="000140D2" w:rsidRDefault="00437409" w:rsidP="000140D2">
      <w:pPr>
        <w:pStyle w:val="Prrafodelista"/>
        <w:numPr>
          <w:ilvl w:val="1"/>
          <w:numId w:val="5"/>
        </w:numPr>
        <w:ind w:left="1134"/>
        <w:jc w:val="both"/>
        <w:rPr>
          <w:rFonts w:ascii="Arial Narrow" w:hAnsi="Arial Narrow" w:cs="Calibri"/>
          <w:szCs w:val="24"/>
          <w:shd w:val="clear" w:color="auto" w:fill="FFFFFF"/>
          <w:lang w:val="es-ES"/>
        </w:rPr>
      </w:pPr>
      <w:r w:rsidRPr="000140D2">
        <w:rPr>
          <w:rFonts w:ascii="Arial Narrow" w:hAnsi="Arial Narrow" w:cs="Calibri"/>
          <w:b/>
          <w:szCs w:val="24"/>
          <w:shd w:val="clear" w:color="auto" w:fill="FFFFFF"/>
        </w:rPr>
        <w:t>Primera cuota</w:t>
      </w:r>
      <w:r w:rsidRPr="000140D2">
        <w:rPr>
          <w:rFonts w:ascii="Arial Narrow" w:hAnsi="Arial Narrow" w:cs="Calibri"/>
          <w:szCs w:val="24"/>
          <w:shd w:val="clear" w:color="auto" w:fill="FFFFFF"/>
        </w:rPr>
        <w:t xml:space="preserve">: </w:t>
      </w:r>
      <w:r w:rsidR="00A12044" w:rsidRPr="000140D2">
        <w:rPr>
          <w:rFonts w:ascii="Arial Narrow" w:hAnsi="Arial Narrow" w:cs="Calibri"/>
          <w:szCs w:val="24"/>
          <w:shd w:val="clear" w:color="auto" w:fill="FFFFFF"/>
          <w:lang w:val="es-ES"/>
        </w:rPr>
        <w:t xml:space="preserve">Será equivalente al </w:t>
      </w:r>
      <w:r w:rsidR="00381D9B">
        <w:rPr>
          <w:rFonts w:ascii="Arial Narrow" w:hAnsi="Arial Narrow" w:cs="Calibri"/>
          <w:szCs w:val="24"/>
          <w:shd w:val="clear" w:color="auto" w:fill="FFFFFF"/>
          <w:lang w:val="es-ES"/>
        </w:rPr>
        <w:t xml:space="preserve">50% del resultado de aplicar las tarifas diferenciales </w:t>
      </w:r>
      <w:r w:rsidR="00A12044" w:rsidRPr="000140D2">
        <w:rPr>
          <w:rFonts w:ascii="Arial Narrow" w:hAnsi="Arial Narrow" w:cs="Calibri"/>
          <w:szCs w:val="24"/>
          <w:shd w:val="clear" w:color="auto" w:fill="FFFFFF"/>
          <w:lang w:val="es-ES"/>
        </w:rPr>
        <w:t>definidas en el artículo 2 de la presente resolución, de acuerdo al tipo de supervisión, a los ingresos bru</w:t>
      </w:r>
      <w:r w:rsidR="0010786A">
        <w:rPr>
          <w:rFonts w:ascii="Arial Narrow" w:hAnsi="Arial Narrow" w:cs="Calibri"/>
          <w:szCs w:val="24"/>
          <w:shd w:val="clear" w:color="auto" w:fill="FFFFFF"/>
          <w:lang w:val="es-ES"/>
        </w:rPr>
        <w:t>tos derivados de la</w:t>
      </w:r>
      <w:r w:rsidR="00D84A4A">
        <w:rPr>
          <w:rFonts w:ascii="Arial Narrow" w:hAnsi="Arial Narrow" w:cs="Calibri"/>
          <w:szCs w:val="24"/>
          <w:shd w:val="clear" w:color="auto" w:fill="FFFFFF"/>
          <w:lang w:val="es-ES"/>
        </w:rPr>
        <w:t>s actividades relacionadas</w:t>
      </w:r>
      <w:r w:rsidR="0010786A">
        <w:rPr>
          <w:rFonts w:ascii="Arial Narrow" w:hAnsi="Arial Narrow" w:cs="Calibri"/>
          <w:szCs w:val="24"/>
          <w:shd w:val="clear" w:color="auto" w:fill="FFFFFF"/>
        </w:rPr>
        <w:t xml:space="preserve"> con el tránsito, transporte, su infraestructura o sus servicios conexos y complementarios</w:t>
      </w:r>
      <w:r w:rsidR="00A12044" w:rsidRPr="000140D2">
        <w:rPr>
          <w:rFonts w:ascii="Arial Narrow" w:hAnsi="Arial Narrow" w:cs="Calibri"/>
          <w:szCs w:val="24"/>
          <w:shd w:val="clear" w:color="auto" w:fill="FFFFFF"/>
        </w:rPr>
        <w:t>,</w:t>
      </w:r>
      <w:r w:rsidR="00A12044" w:rsidRPr="000140D2">
        <w:rPr>
          <w:rFonts w:ascii="Arial Narrow" w:hAnsi="Arial Narrow" w:cs="Calibri"/>
          <w:szCs w:val="24"/>
          <w:shd w:val="clear" w:color="auto" w:fill="FFFFFF"/>
          <w:lang w:val="es-ES"/>
        </w:rPr>
        <w:t xml:space="preserve"> efectivamente obtenidos por cada </w:t>
      </w:r>
      <w:r w:rsidR="00A12044" w:rsidRPr="000140D2">
        <w:rPr>
          <w:rFonts w:ascii="Arial Narrow" w:hAnsi="Arial Narrow" w:cs="Calibri"/>
          <w:szCs w:val="24"/>
          <w:shd w:val="clear" w:color="auto" w:fill="FFFFFF"/>
          <w:lang w:val="es-ES"/>
        </w:rPr>
        <w:lastRenderedPageBreak/>
        <w:t xml:space="preserve">sujeto supervisado durante el año 2019 y reportados a la Superintendencia de Transporte en los plazos que esta establezca, de acuerdo a la programación que se fije para tal efecto, </w:t>
      </w:r>
      <w:r w:rsidR="00A12044" w:rsidRPr="006F0908">
        <w:rPr>
          <w:rFonts w:ascii="Arial Narrow" w:hAnsi="Arial Narrow" w:cs="Calibri"/>
          <w:szCs w:val="24"/>
          <w:shd w:val="clear" w:color="auto" w:fill="FFFFFF"/>
          <w:lang w:val="es-ES"/>
        </w:rPr>
        <w:t xml:space="preserve">según lo previsto en el parágrafo primero de este </w:t>
      </w:r>
      <w:r w:rsidR="00A12044" w:rsidRPr="00381D9B">
        <w:rPr>
          <w:rFonts w:ascii="Arial Narrow" w:hAnsi="Arial Narrow" w:cs="Calibri"/>
          <w:szCs w:val="24"/>
          <w:shd w:val="clear" w:color="auto" w:fill="FFFFFF"/>
          <w:lang w:val="es-ES"/>
        </w:rPr>
        <w:t>artículo</w:t>
      </w:r>
      <w:r w:rsidR="00A17400" w:rsidRPr="00381D9B">
        <w:rPr>
          <w:rFonts w:ascii="Arial Narrow" w:hAnsi="Arial Narrow" w:cs="Calibri"/>
          <w:szCs w:val="24"/>
          <w:shd w:val="clear" w:color="auto" w:fill="FFFFFF"/>
          <w:lang w:val="es-ES"/>
        </w:rPr>
        <w:t>.</w:t>
      </w:r>
      <w:r w:rsidR="000140D2" w:rsidRPr="00381D9B">
        <w:rPr>
          <w:rFonts w:ascii="Arial Narrow" w:hAnsi="Arial Narrow" w:cs="Calibri"/>
          <w:szCs w:val="24"/>
          <w:shd w:val="clear" w:color="auto" w:fill="FFFFFF"/>
          <w:lang w:val="es-ES"/>
        </w:rPr>
        <w:t xml:space="preserve"> </w:t>
      </w:r>
    </w:p>
    <w:p w14:paraId="2957EE5F" w14:textId="77777777" w:rsidR="00437409" w:rsidRPr="00A12044" w:rsidRDefault="00437409" w:rsidP="00437409">
      <w:pPr>
        <w:ind w:left="1134" w:right="50" w:hanging="567"/>
        <w:rPr>
          <w:rFonts w:ascii="Arial Narrow" w:hAnsi="Arial Narrow" w:cs="Calibri"/>
          <w:sz w:val="24"/>
          <w:szCs w:val="24"/>
          <w:shd w:val="clear" w:color="auto" w:fill="FFFFFF"/>
          <w:lang w:val="es-ES"/>
        </w:rPr>
      </w:pPr>
    </w:p>
    <w:p w14:paraId="2D60768C" w14:textId="023399BC" w:rsidR="00437409" w:rsidRDefault="00437409" w:rsidP="000140D2">
      <w:pPr>
        <w:pStyle w:val="Prrafodelista"/>
        <w:numPr>
          <w:ilvl w:val="1"/>
          <w:numId w:val="5"/>
        </w:numPr>
        <w:ind w:left="1134"/>
        <w:jc w:val="both"/>
        <w:rPr>
          <w:rFonts w:ascii="Arial Narrow" w:hAnsi="Arial Narrow" w:cs="Calibri"/>
          <w:szCs w:val="24"/>
          <w:shd w:val="clear" w:color="auto" w:fill="FFFFFF"/>
          <w:lang w:val="es-ES"/>
        </w:rPr>
      </w:pPr>
      <w:r w:rsidRPr="00A12044">
        <w:rPr>
          <w:rFonts w:ascii="Arial Narrow" w:hAnsi="Arial Narrow" w:cs="Calibri"/>
          <w:b/>
          <w:szCs w:val="24"/>
          <w:shd w:val="clear" w:color="auto" w:fill="FFFFFF"/>
          <w:lang w:val="es-ES"/>
        </w:rPr>
        <w:t xml:space="preserve">Segunda cuota : </w:t>
      </w:r>
      <w:r w:rsidRPr="00A12044">
        <w:rPr>
          <w:rFonts w:ascii="Arial Narrow" w:hAnsi="Arial Narrow" w:cs="Calibri"/>
          <w:szCs w:val="24"/>
          <w:shd w:val="clear" w:color="auto" w:fill="FFFFFF"/>
          <w:lang w:val="es-ES"/>
        </w:rPr>
        <w:t xml:space="preserve">Será equivalente al resultado de aplicar </w:t>
      </w:r>
      <w:r w:rsidRPr="00A12044">
        <w:rPr>
          <w:rFonts w:ascii="Arial Narrow" w:hAnsi="Arial Narrow" w:cs="Calibri"/>
          <w:szCs w:val="24"/>
          <w:shd w:val="clear" w:color="auto" w:fill="FFFFFF"/>
        </w:rPr>
        <w:t xml:space="preserve">las tarifas </w:t>
      </w:r>
      <w:r w:rsidRPr="00A12044">
        <w:rPr>
          <w:rFonts w:ascii="Arial Narrow" w:hAnsi="Arial Narrow" w:cs="Calibri"/>
          <w:szCs w:val="24"/>
          <w:shd w:val="clear" w:color="auto" w:fill="FFFFFF"/>
          <w:lang w:val="es-ES"/>
        </w:rPr>
        <w:t xml:space="preserve">diferenciales definidas en el artículo 2 de la presente resolución, de acuerdo al tipo de supervisión, a los ingresos brutos derivados </w:t>
      </w:r>
      <w:r w:rsidR="0010786A">
        <w:rPr>
          <w:rFonts w:ascii="Arial Narrow" w:hAnsi="Arial Narrow" w:cs="Calibri"/>
          <w:szCs w:val="24"/>
          <w:shd w:val="clear" w:color="auto" w:fill="FFFFFF"/>
          <w:lang w:val="es-ES"/>
        </w:rPr>
        <w:t>de la</w:t>
      </w:r>
      <w:r w:rsidR="00D84A4A">
        <w:rPr>
          <w:rFonts w:ascii="Arial Narrow" w:hAnsi="Arial Narrow" w:cs="Calibri"/>
          <w:szCs w:val="24"/>
          <w:shd w:val="clear" w:color="auto" w:fill="FFFFFF"/>
          <w:lang w:val="es-ES"/>
        </w:rPr>
        <w:t>s</w:t>
      </w:r>
      <w:r w:rsidR="0010786A">
        <w:rPr>
          <w:rFonts w:ascii="Arial Narrow" w:hAnsi="Arial Narrow" w:cs="Calibri"/>
          <w:szCs w:val="24"/>
          <w:shd w:val="clear" w:color="auto" w:fill="FFFFFF"/>
          <w:lang w:val="es-ES"/>
        </w:rPr>
        <w:t xml:space="preserve"> actividad</w:t>
      </w:r>
      <w:r w:rsidR="00D84A4A">
        <w:rPr>
          <w:rFonts w:ascii="Arial Narrow" w:hAnsi="Arial Narrow" w:cs="Calibri"/>
          <w:szCs w:val="24"/>
          <w:shd w:val="clear" w:color="auto" w:fill="FFFFFF"/>
          <w:lang w:val="es-ES"/>
        </w:rPr>
        <w:t>es</w:t>
      </w:r>
      <w:r w:rsidR="0010786A" w:rsidRPr="000140D2">
        <w:rPr>
          <w:rFonts w:ascii="Arial Narrow" w:hAnsi="Arial Narrow" w:cs="Calibri"/>
          <w:szCs w:val="24"/>
          <w:shd w:val="clear" w:color="auto" w:fill="FFFFFF"/>
          <w:lang w:val="es-ES"/>
        </w:rPr>
        <w:t xml:space="preserve"> </w:t>
      </w:r>
      <w:r w:rsidR="0010786A">
        <w:rPr>
          <w:rFonts w:ascii="Arial Narrow" w:hAnsi="Arial Narrow" w:cs="Calibri"/>
          <w:szCs w:val="24"/>
          <w:shd w:val="clear" w:color="auto" w:fill="FFFFFF"/>
        </w:rPr>
        <w:t>relacionada</w:t>
      </w:r>
      <w:r w:rsidR="00D84A4A">
        <w:rPr>
          <w:rFonts w:ascii="Arial Narrow" w:hAnsi="Arial Narrow" w:cs="Calibri"/>
          <w:szCs w:val="24"/>
          <w:shd w:val="clear" w:color="auto" w:fill="FFFFFF"/>
        </w:rPr>
        <w:t>s</w:t>
      </w:r>
      <w:r w:rsidR="0010786A">
        <w:rPr>
          <w:rFonts w:ascii="Arial Narrow" w:hAnsi="Arial Narrow" w:cs="Calibri"/>
          <w:szCs w:val="24"/>
          <w:shd w:val="clear" w:color="auto" w:fill="FFFFFF"/>
        </w:rPr>
        <w:t xml:space="preserve"> con el tránsito, transporte, su infraestructura o sus servicios conexos y complementarios</w:t>
      </w:r>
      <w:r w:rsidRPr="00A12044">
        <w:rPr>
          <w:rFonts w:ascii="Arial Narrow" w:hAnsi="Arial Narrow" w:cs="Calibri"/>
          <w:szCs w:val="24"/>
          <w:shd w:val="clear" w:color="auto" w:fill="FFFFFF"/>
        </w:rPr>
        <w:t>,</w:t>
      </w:r>
      <w:r w:rsidRPr="00A12044">
        <w:rPr>
          <w:rFonts w:ascii="Arial Narrow" w:hAnsi="Arial Narrow" w:cs="Calibri"/>
          <w:szCs w:val="24"/>
          <w:shd w:val="clear" w:color="auto" w:fill="FFFFFF"/>
          <w:lang w:val="es-ES"/>
        </w:rPr>
        <w:t xml:space="preserve"> efectivamente obtenidos por cada sujeto supervisado </w:t>
      </w:r>
      <w:r w:rsidR="00A12044" w:rsidRPr="00A12044">
        <w:rPr>
          <w:rFonts w:ascii="Arial Narrow" w:hAnsi="Arial Narrow" w:cs="Calibri"/>
          <w:szCs w:val="24"/>
          <w:shd w:val="clear" w:color="auto" w:fill="FFFFFF"/>
          <w:lang w:val="es-ES"/>
        </w:rPr>
        <w:t>durante el año 2019</w:t>
      </w:r>
      <w:r w:rsidRPr="00A12044">
        <w:rPr>
          <w:rFonts w:ascii="Arial Narrow" w:hAnsi="Arial Narrow" w:cs="Calibri"/>
          <w:szCs w:val="24"/>
          <w:shd w:val="clear" w:color="auto" w:fill="FFFFFF"/>
          <w:lang w:val="es-ES"/>
        </w:rPr>
        <w:t xml:space="preserve"> y reportados a la Superintendencia de Transporte en los plazos que esta establezca, de acuerdo a la programación que se fije para tal efecto, según lo previsto en el parágrafo primero</w:t>
      </w:r>
      <w:r w:rsidR="00A12044" w:rsidRPr="00A12044">
        <w:rPr>
          <w:rFonts w:ascii="Arial Narrow" w:hAnsi="Arial Narrow" w:cs="Calibri"/>
          <w:szCs w:val="24"/>
          <w:shd w:val="clear" w:color="auto" w:fill="FFFFFF"/>
          <w:lang w:val="es-ES"/>
        </w:rPr>
        <w:t xml:space="preserve"> de este artículo</w:t>
      </w:r>
      <w:r w:rsidR="000B7903">
        <w:rPr>
          <w:rFonts w:ascii="Arial Narrow" w:hAnsi="Arial Narrow" w:cs="Calibri"/>
          <w:szCs w:val="24"/>
          <w:shd w:val="clear" w:color="auto" w:fill="FFFFFF"/>
          <w:lang w:val="es-ES"/>
        </w:rPr>
        <w:t>, menos el valor pagado por el vigilado en la primera cuota, generándose el recibo de pago por la diferencia</w:t>
      </w:r>
      <w:r w:rsidR="000140D2" w:rsidRPr="000140D2">
        <w:rPr>
          <w:rFonts w:ascii="Arial Narrow" w:hAnsi="Arial Narrow" w:cs="Calibri"/>
          <w:szCs w:val="24"/>
          <w:shd w:val="clear" w:color="auto" w:fill="FFFFFF"/>
          <w:lang w:val="es-ES"/>
        </w:rPr>
        <w:t>.</w:t>
      </w:r>
    </w:p>
    <w:p w14:paraId="68B0B000" w14:textId="77777777" w:rsidR="000140D2" w:rsidRPr="000140D2" w:rsidRDefault="000140D2" w:rsidP="000140D2">
      <w:pPr>
        <w:pStyle w:val="Prrafodelista"/>
        <w:ind w:left="1134"/>
        <w:jc w:val="both"/>
        <w:rPr>
          <w:rFonts w:ascii="Arial Narrow" w:hAnsi="Arial Narrow" w:cs="Calibri"/>
          <w:szCs w:val="24"/>
          <w:shd w:val="clear" w:color="auto" w:fill="FFFFFF"/>
          <w:lang w:val="es-ES"/>
        </w:rPr>
      </w:pPr>
    </w:p>
    <w:p w14:paraId="5D5CD35A" w14:textId="77777777" w:rsidR="00437409" w:rsidRDefault="00437409" w:rsidP="00A12044">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lang w:val="es-ES"/>
        </w:rPr>
        <w:t xml:space="preserve">Parágrafo Primero: </w:t>
      </w:r>
      <w:r w:rsidRPr="008339A1">
        <w:rPr>
          <w:rFonts w:ascii="Arial Narrow" w:hAnsi="Arial Narrow" w:cs="Calibri"/>
          <w:sz w:val="24"/>
          <w:szCs w:val="24"/>
          <w:shd w:val="clear" w:color="auto" w:fill="FFFFFF"/>
        </w:rPr>
        <w:t>El plazo, forma y medio para el reporte de los ingresos por las actividades vigiladas por la Superintendencia de Transporte correspondientes al año 201</w:t>
      </w:r>
      <w:r w:rsidR="00A12044" w:rsidRPr="008339A1">
        <w:rPr>
          <w:rFonts w:ascii="Arial Narrow" w:hAnsi="Arial Narrow" w:cs="Calibri"/>
          <w:sz w:val="24"/>
          <w:szCs w:val="24"/>
          <w:shd w:val="clear" w:color="auto" w:fill="FFFFFF"/>
        </w:rPr>
        <w:t>9</w:t>
      </w:r>
      <w:r w:rsidRPr="008339A1">
        <w:rPr>
          <w:rFonts w:ascii="Arial Narrow" w:hAnsi="Arial Narrow" w:cs="Calibri"/>
          <w:sz w:val="24"/>
          <w:szCs w:val="24"/>
          <w:shd w:val="clear" w:color="auto" w:fill="FFFFFF"/>
        </w:rPr>
        <w:t xml:space="preserve">, se determinó en la Resolución </w:t>
      </w:r>
      <w:r w:rsidR="00A12044" w:rsidRPr="008339A1">
        <w:rPr>
          <w:rFonts w:ascii="Arial Narrow" w:hAnsi="Arial Narrow" w:cs="Calibri"/>
          <w:sz w:val="24"/>
          <w:szCs w:val="24"/>
          <w:shd w:val="clear" w:color="auto" w:fill="FFFFFF"/>
        </w:rPr>
        <w:t xml:space="preserve">6299 </w:t>
      </w:r>
      <w:r w:rsidR="00BF6779" w:rsidRPr="008339A1">
        <w:rPr>
          <w:rFonts w:ascii="Arial Narrow" w:hAnsi="Arial Narrow" w:cs="Calibri"/>
          <w:sz w:val="24"/>
          <w:szCs w:val="24"/>
          <w:shd w:val="clear" w:color="auto" w:fill="FFFFFF"/>
        </w:rPr>
        <w:t>del 28</w:t>
      </w:r>
      <w:r w:rsidR="00A12044" w:rsidRPr="008339A1">
        <w:rPr>
          <w:rFonts w:ascii="Arial Narrow" w:hAnsi="Arial Narrow" w:cs="Calibri"/>
          <w:sz w:val="24"/>
          <w:szCs w:val="24"/>
          <w:shd w:val="clear" w:color="auto" w:fill="FFFFFF"/>
        </w:rPr>
        <w:t xml:space="preserve"> de abril de 2020</w:t>
      </w:r>
      <w:r w:rsidRPr="008339A1">
        <w:rPr>
          <w:rFonts w:ascii="Arial Narrow" w:hAnsi="Arial Narrow" w:cs="Calibri"/>
          <w:sz w:val="24"/>
          <w:szCs w:val="24"/>
          <w:shd w:val="clear" w:color="auto" w:fill="FFFFFF"/>
        </w:rPr>
        <w:t>, modificada por la</w:t>
      </w:r>
      <w:r w:rsidR="00A12044" w:rsidRPr="008339A1">
        <w:rPr>
          <w:rFonts w:ascii="Arial Narrow" w:hAnsi="Arial Narrow" w:cs="Calibri"/>
          <w:sz w:val="24"/>
          <w:szCs w:val="24"/>
          <w:shd w:val="clear" w:color="auto" w:fill="FFFFFF"/>
        </w:rPr>
        <w:t>s Resoluciones números 6455 del 12 de junio de 2020</w:t>
      </w:r>
      <w:r w:rsidRPr="008339A1">
        <w:rPr>
          <w:rFonts w:ascii="Arial Narrow" w:hAnsi="Arial Narrow" w:cs="Calibri"/>
          <w:sz w:val="24"/>
          <w:szCs w:val="24"/>
          <w:shd w:val="clear" w:color="auto" w:fill="FFFFFF"/>
        </w:rPr>
        <w:t xml:space="preserve"> </w:t>
      </w:r>
      <w:r w:rsidR="00A12044" w:rsidRPr="008339A1">
        <w:rPr>
          <w:rFonts w:ascii="Arial Narrow" w:hAnsi="Arial Narrow" w:cs="Calibri"/>
          <w:sz w:val="24"/>
          <w:szCs w:val="24"/>
          <w:shd w:val="clear" w:color="auto" w:fill="FFFFFF"/>
        </w:rPr>
        <w:t>y 7700 de</w:t>
      </w:r>
      <w:r w:rsidR="008339A1" w:rsidRPr="008339A1">
        <w:rPr>
          <w:rFonts w:ascii="Arial Narrow" w:hAnsi="Arial Narrow" w:cs="Calibri"/>
          <w:sz w:val="24"/>
          <w:szCs w:val="24"/>
          <w:shd w:val="clear" w:color="auto" w:fill="FFFFFF"/>
        </w:rPr>
        <w:t>l 2 de octubre de</w:t>
      </w:r>
      <w:r w:rsidR="00A12044" w:rsidRPr="008339A1">
        <w:rPr>
          <w:rFonts w:ascii="Arial Narrow" w:hAnsi="Arial Narrow" w:cs="Calibri"/>
          <w:sz w:val="24"/>
          <w:szCs w:val="24"/>
          <w:shd w:val="clear" w:color="auto" w:fill="FFFFFF"/>
        </w:rPr>
        <w:t xml:space="preserve"> 2020</w:t>
      </w:r>
      <w:r w:rsidR="008339A1" w:rsidRPr="008339A1">
        <w:rPr>
          <w:rFonts w:ascii="Arial Narrow" w:hAnsi="Arial Narrow" w:cs="Calibri"/>
          <w:sz w:val="24"/>
          <w:szCs w:val="24"/>
          <w:shd w:val="clear" w:color="auto" w:fill="FFFFFF"/>
        </w:rPr>
        <w:t>.</w:t>
      </w:r>
    </w:p>
    <w:p w14:paraId="4D251E5A" w14:textId="77777777" w:rsidR="008339A1" w:rsidRPr="002B3EE9" w:rsidRDefault="008339A1" w:rsidP="00A12044">
      <w:pPr>
        <w:ind w:right="50"/>
        <w:jc w:val="both"/>
        <w:rPr>
          <w:rFonts w:ascii="Arial Narrow" w:hAnsi="Arial Narrow" w:cs="Calibri"/>
          <w:sz w:val="24"/>
          <w:szCs w:val="24"/>
          <w:highlight w:val="yellow"/>
          <w:shd w:val="clear" w:color="auto" w:fill="FFFFFF"/>
          <w:lang w:val="es-ES"/>
        </w:rPr>
      </w:pPr>
    </w:p>
    <w:p w14:paraId="240A49CC" w14:textId="3F75B0A8" w:rsidR="000140D2" w:rsidRPr="000140D2" w:rsidRDefault="00437409" w:rsidP="000140D2">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Parágrafo Segundo: </w:t>
      </w:r>
      <w:r w:rsidRPr="008339A1">
        <w:rPr>
          <w:rFonts w:ascii="Arial Narrow" w:hAnsi="Arial Narrow" w:cs="Calibri"/>
          <w:sz w:val="24"/>
          <w:szCs w:val="24"/>
          <w:shd w:val="clear" w:color="auto" w:fill="FFFFFF"/>
        </w:rPr>
        <w:t xml:space="preserve">En el evento en que los sujetos de vigilancia, inspección y control de la Superintendencia de Transporte no reporten los ingresos por las actividades supervisadas </w:t>
      </w:r>
      <w:r w:rsidR="008339A1" w:rsidRPr="000140D2">
        <w:rPr>
          <w:rFonts w:ascii="Arial Narrow" w:hAnsi="Arial Narrow" w:cs="Calibri"/>
          <w:sz w:val="24"/>
          <w:szCs w:val="24"/>
          <w:shd w:val="clear" w:color="auto" w:fill="FFFFFF"/>
        </w:rPr>
        <w:t>correspondientes al año 2019</w:t>
      </w:r>
      <w:r w:rsidRPr="000140D2">
        <w:rPr>
          <w:rFonts w:ascii="Arial Narrow" w:hAnsi="Arial Narrow" w:cs="Calibri"/>
          <w:sz w:val="24"/>
          <w:szCs w:val="24"/>
          <w:shd w:val="clear" w:color="auto" w:fill="FFFFFF"/>
        </w:rPr>
        <w:t xml:space="preserve">, se realizará la liquidación de la </w:t>
      </w:r>
      <w:r w:rsidR="004B654A" w:rsidRPr="000140D2">
        <w:rPr>
          <w:rFonts w:ascii="Arial Narrow" w:hAnsi="Arial Narrow" w:cs="Calibri"/>
          <w:sz w:val="24"/>
          <w:szCs w:val="24"/>
          <w:shd w:val="clear" w:color="auto" w:fill="FFFFFF"/>
        </w:rPr>
        <w:t>prime</w:t>
      </w:r>
      <w:r w:rsidR="000140D2" w:rsidRPr="000140D2">
        <w:rPr>
          <w:rFonts w:ascii="Arial Narrow" w:hAnsi="Arial Narrow" w:cs="Calibri"/>
          <w:sz w:val="24"/>
          <w:szCs w:val="24"/>
          <w:shd w:val="clear" w:color="auto" w:fill="FFFFFF"/>
        </w:rPr>
        <w:t>r</w:t>
      </w:r>
      <w:r w:rsidR="004B654A" w:rsidRPr="000140D2">
        <w:rPr>
          <w:rFonts w:ascii="Arial Narrow" w:hAnsi="Arial Narrow" w:cs="Calibri"/>
          <w:sz w:val="24"/>
          <w:szCs w:val="24"/>
          <w:shd w:val="clear" w:color="auto" w:fill="FFFFFF"/>
        </w:rPr>
        <w:t>a y segunda</w:t>
      </w:r>
      <w:r w:rsidRPr="000140D2">
        <w:rPr>
          <w:rFonts w:ascii="Arial Narrow" w:hAnsi="Arial Narrow" w:cs="Calibri"/>
          <w:sz w:val="24"/>
          <w:szCs w:val="24"/>
          <w:shd w:val="clear" w:color="auto" w:fill="FFFFFF"/>
        </w:rPr>
        <w:t xml:space="preserve"> cuota de la </w:t>
      </w:r>
      <w:r w:rsidR="00246A71">
        <w:rPr>
          <w:rFonts w:ascii="Arial Narrow" w:hAnsi="Arial Narrow" w:cs="Calibri"/>
          <w:sz w:val="24"/>
          <w:szCs w:val="24"/>
          <w:shd w:val="clear" w:color="auto" w:fill="FFFFFF"/>
        </w:rPr>
        <w:t>C</w:t>
      </w:r>
      <w:r w:rsidRPr="000140D2">
        <w:rPr>
          <w:rFonts w:ascii="Arial Narrow" w:hAnsi="Arial Narrow" w:cs="Calibri"/>
          <w:sz w:val="24"/>
          <w:szCs w:val="24"/>
          <w:shd w:val="clear" w:color="auto" w:fill="FFFFFF"/>
        </w:rPr>
        <w:t>o</w:t>
      </w:r>
      <w:r w:rsidR="008339A1" w:rsidRPr="000140D2">
        <w:rPr>
          <w:rFonts w:ascii="Arial Narrow" w:hAnsi="Arial Narrow" w:cs="Calibri"/>
          <w:sz w:val="24"/>
          <w:szCs w:val="24"/>
          <w:shd w:val="clear" w:color="auto" w:fill="FFFFFF"/>
        </w:rPr>
        <w:t>ntribución</w:t>
      </w:r>
      <w:r w:rsidR="00246A71">
        <w:rPr>
          <w:rFonts w:ascii="Arial Narrow" w:hAnsi="Arial Narrow" w:cs="Calibri"/>
          <w:sz w:val="24"/>
          <w:szCs w:val="24"/>
          <w:shd w:val="clear" w:color="auto" w:fill="FFFFFF"/>
        </w:rPr>
        <w:t xml:space="preserve"> Especial de Vigilancia </w:t>
      </w:r>
      <w:r w:rsidR="008339A1" w:rsidRPr="000140D2">
        <w:rPr>
          <w:rFonts w:ascii="Arial Narrow" w:hAnsi="Arial Narrow" w:cs="Calibri"/>
          <w:sz w:val="24"/>
          <w:szCs w:val="24"/>
          <w:shd w:val="clear" w:color="auto" w:fill="FFFFFF"/>
        </w:rPr>
        <w:t>del año 2020</w:t>
      </w:r>
      <w:r w:rsidRPr="000140D2">
        <w:rPr>
          <w:rFonts w:ascii="Arial Narrow" w:hAnsi="Arial Narrow" w:cs="Calibri"/>
          <w:sz w:val="24"/>
          <w:szCs w:val="24"/>
          <w:shd w:val="clear" w:color="auto" w:fill="FFFFFF"/>
        </w:rPr>
        <w:t>,</w:t>
      </w:r>
      <w:r w:rsidR="000140D2" w:rsidRPr="000140D2">
        <w:rPr>
          <w:rFonts w:ascii="Arial Narrow" w:hAnsi="Arial Narrow" w:cs="Calibri"/>
          <w:sz w:val="24"/>
          <w:szCs w:val="24"/>
          <w:shd w:val="clear" w:color="auto" w:fill="FFFFFF"/>
        </w:rPr>
        <w:t xml:space="preserve"> de la siguiente manera:</w:t>
      </w:r>
    </w:p>
    <w:p w14:paraId="39BDEE8D" w14:textId="77777777" w:rsidR="000140D2" w:rsidRPr="000140D2" w:rsidRDefault="000140D2" w:rsidP="000140D2">
      <w:pPr>
        <w:ind w:right="50"/>
        <w:jc w:val="both"/>
        <w:rPr>
          <w:rFonts w:ascii="Arial Narrow" w:hAnsi="Arial Narrow" w:cs="Calibri"/>
          <w:sz w:val="24"/>
          <w:szCs w:val="24"/>
          <w:shd w:val="clear" w:color="auto" w:fill="FFFFFF"/>
        </w:rPr>
      </w:pPr>
    </w:p>
    <w:p w14:paraId="46757016" w14:textId="199CD82C" w:rsidR="000140D2" w:rsidRPr="000140D2" w:rsidRDefault="000140D2" w:rsidP="000140D2">
      <w:pPr>
        <w:pStyle w:val="Prrafodelista"/>
        <w:numPr>
          <w:ilvl w:val="0"/>
          <w:numId w:val="6"/>
        </w:numPr>
        <w:ind w:right="50"/>
        <w:jc w:val="both"/>
        <w:rPr>
          <w:rFonts w:ascii="Arial Narrow" w:hAnsi="Arial Narrow" w:cs="Calibri"/>
          <w:szCs w:val="24"/>
          <w:shd w:val="clear" w:color="auto" w:fill="FFFFFF"/>
        </w:rPr>
      </w:pPr>
      <w:r w:rsidRPr="000140D2">
        <w:rPr>
          <w:rFonts w:ascii="Arial Narrow" w:hAnsi="Arial Narrow" w:cs="Calibri"/>
          <w:b/>
          <w:szCs w:val="24"/>
          <w:shd w:val="clear" w:color="auto" w:fill="FFFFFF"/>
        </w:rPr>
        <w:t>Primera cuota:</w:t>
      </w:r>
      <w:r w:rsidRPr="000140D2">
        <w:rPr>
          <w:rFonts w:ascii="Arial Narrow" w:hAnsi="Arial Narrow" w:cs="Calibri"/>
          <w:szCs w:val="24"/>
          <w:shd w:val="clear" w:color="auto" w:fill="FFFFFF"/>
        </w:rPr>
        <w:t xml:space="preserve"> </w:t>
      </w:r>
      <w:r w:rsidR="00246A71">
        <w:rPr>
          <w:rFonts w:ascii="Arial Narrow" w:hAnsi="Arial Narrow" w:cs="Calibri"/>
          <w:szCs w:val="24"/>
          <w:shd w:val="clear" w:color="auto" w:fill="FFFFFF"/>
        </w:rPr>
        <w:t xml:space="preserve">Será equivalente al 50% del resultado de aplicar </w:t>
      </w:r>
      <w:r w:rsidR="00246A71" w:rsidRPr="00246A71">
        <w:rPr>
          <w:rFonts w:ascii="Arial Narrow" w:hAnsi="Arial Narrow" w:cs="Calibri"/>
          <w:szCs w:val="24"/>
          <w:shd w:val="clear" w:color="auto" w:fill="FFFFFF"/>
        </w:rPr>
        <w:t xml:space="preserve">las tarifas diferenciales definidas en el artículo 2 de la presente resolución, de acuerdo al tipo de supervisión, a los ingresos brutos derivados de las actividades relacionadas con el tránsito, transporte, su infraestructura o sus servicios conexos y complementarios, </w:t>
      </w:r>
      <w:r w:rsidR="00246A71" w:rsidRPr="00246A71">
        <w:rPr>
          <w:rFonts w:ascii="Arial Narrow" w:hAnsi="Arial Narrow" w:cs="Calibri"/>
          <w:b/>
          <w:bCs/>
          <w:szCs w:val="24"/>
          <w:u w:val="single"/>
          <w:shd w:val="clear" w:color="auto" w:fill="FFFFFF"/>
        </w:rPr>
        <w:t>estimados para la vigencia 2019</w:t>
      </w:r>
      <w:r w:rsidR="00246A71" w:rsidRPr="00246A71">
        <w:rPr>
          <w:rFonts w:ascii="Arial Narrow" w:hAnsi="Arial Narrow" w:cs="Calibri"/>
          <w:szCs w:val="24"/>
          <w:shd w:val="clear" w:color="auto" w:fill="FFFFFF"/>
        </w:rPr>
        <w:t>.</w:t>
      </w:r>
    </w:p>
    <w:p w14:paraId="2259E62B" w14:textId="77777777" w:rsidR="000140D2" w:rsidRPr="000140D2" w:rsidRDefault="000140D2" w:rsidP="000140D2">
      <w:pPr>
        <w:pStyle w:val="Prrafodelista"/>
        <w:ind w:right="50"/>
        <w:jc w:val="both"/>
        <w:rPr>
          <w:rFonts w:ascii="Arial Narrow" w:hAnsi="Arial Narrow" w:cs="Calibri"/>
          <w:szCs w:val="24"/>
          <w:shd w:val="clear" w:color="auto" w:fill="FFFFFF"/>
        </w:rPr>
      </w:pPr>
    </w:p>
    <w:p w14:paraId="6DDFC1DB" w14:textId="0249AD67" w:rsidR="000140D2" w:rsidRPr="000140D2" w:rsidRDefault="000140D2" w:rsidP="000140D2">
      <w:pPr>
        <w:pStyle w:val="Prrafodelista"/>
        <w:numPr>
          <w:ilvl w:val="0"/>
          <w:numId w:val="6"/>
        </w:numPr>
        <w:ind w:right="50"/>
        <w:jc w:val="both"/>
        <w:rPr>
          <w:rFonts w:ascii="Arial Narrow" w:hAnsi="Arial Narrow" w:cs="Calibri"/>
          <w:szCs w:val="24"/>
          <w:shd w:val="clear" w:color="auto" w:fill="FFFFFF"/>
        </w:rPr>
      </w:pPr>
      <w:r w:rsidRPr="000140D2">
        <w:rPr>
          <w:rFonts w:ascii="Arial Narrow" w:hAnsi="Arial Narrow" w:cs="Calibri"/>
          <w:b/>
          <w:szCs w:val="24"/>
          <w:shd w:val="clear" w:color="auto" w:fill="FFFFFF"/>
        </w:rPr>
        <w:t>Segunda cuota:</w:t>
      </w:r>
      <w:r w:rsidRPr="000140D2">
        <w:rPr>
          <w:rFonts w:ascii="Arial Narrow" w:hAnsi="Arial Narrow" w:cs="Calibri"/>
          <w:szCs w:val="24"/>
          <w:shd w:val="clear" w:color="auto" w:fill="FFFFFF"/>
        </w:rPr>
        <w:t xml:space="preserve"> </w:t>
      </w:r>
      <w:r w:rsidR="00246A71" w:rsidRPr="00246A71">
        <w:rPr>
          <w:rFonts w:ascii="Arial Narrow" w:hAnsi="Arial Narrow" w:cs="Calibri"/>
          <w:szCs w:val="24"/>
          <w:shd w:val="clear" w:color="auto" w:fill="FFFFFF"/>
        </w:rPr>
        <w:t xml:space="preserve">Será equivalente al 50% del resultado de aplicar las tarifas diferenciales definidas en el artículo 2 de la presente resolución, de acuerdo al tipo de supervisión, a los ingresos brutos derivados de las actividades relacionadas con el tránsito, transporte, su infraestructura o sus servicios conexos y complementarios, </w:t>
      </w:r>
      <w:r w:rsidR="00246A71" w:rsidRPr="00246A71">
        <w:rPr>
          <w:rFonts w:ascii="Arial Narrow" w:hAnsi="Arial Narrow" w:cs="Calibri"/>
          <w:b/>
          <w:bCs/>
          <w:szCs w:val="24"/>
          <w:u w:val="single"/>
          <w:shd w:val="clear" w:color="auto" w:fill="FFFFFF"/>
        </w:rPr>
        <w:t>estimados para la vigencia 2019.</w:t>
      </w:r>
    </w:p>
    <w:p w14:paraId="3C1CDE47" w14:textId="77777777" w:rsidR="000140D2" w:rsidRPr="000140D2" w:rsidRDefault="000140D2" w:rsidP="000140D2">
      <w:pPr>
        <w:pStyle w:val="Prrafodelista"/>
        <w:rPr>
          <w:rFonts w:ascii="Arial Narrow" w:hAnsi="Arial Narrow" w:cs="Calibri"/>
          <w:szCs w:val="24"/>
          <w:shd w:val="clear" w:color="auto" w:fill="FFFFFF"/>
        </w:rPr>
      </w:pPr>
    </w:p>
    <w:p w14:paraId="3A881D0A" w14:textId="30601328" w:rsidR="000140D2" w:rsidRDefault="000140D2" w:rsidP="000140D2">
      <w:pPr>
        <w:pStyle w:val="Prrafodelista"/>
        <w:ind w:right="50"/>
        <w:jc w:val="both"/>
        <w:rPr>
          <w:rFonts w:ascii="Arial Narrow" w:hAnsi="Arial Narrow" w:cs="Calibri"/>
          <w:szCs w:val="24"/>
          <w:shd w:val="clear" w:color="auto" w:fill="FFFFFF"/>
        </w:rPr>
      </w:pPr>
      <w:r w:rsidRPr="000140D2">
        <w:rPr>
          <w:rFonts w:ascii="Arial Narrow" w:hAnsi="Arial Narrow" w:cs="Calibri"/>
          <w:szCs w:val="24"/>
          <w:shd w:val="clear" w:color="auto" w:fill="FFFFFF"/>
        </w:rPr>
        <w:t>Sin embargo, para aquellos vigilados que no hayan reportado la información financiera del año 2019</w:t>
      </w:r>
      <w:r w:rsidR="00246A71">
        <w:rPr>
          <w:rFonts w:ascii="Arial Narrow" w:hAnsi="Arial Narrow" w:cs="Calibri"/>
          <w:szCs w:val="24"/>
          <w:shd w:val="clear" w:color="auto" w:fill="FFFFFF"/>
        </w:rPr>
        <w:t xml:space="preserve"> dentro de los plazos establecidos por esta Superintendencia, y</w:t>
      </w:r>
      <w:r w:rsidRPr="000140D2">
        <w:rPr>
          <w:rFonts w:ascii="Arial Narrow" w:hAnsi="Arial Narrow" w:cs="Calibri"/>
          <w:szCs w:val="24"/>
          <w:shd w:val="clear" w:color="auto" w:fill="FFFFFF"/>
        </w:rPr>
        <w:t xml:space="preserve"> que antes de la liquidación de la segunda cuota reporten al Sistema Nacional de Supervisión al Transporte</w:t>
      </w:r>
      <w:r w:rsidR="00246A71">
        <w:rPr>
          <w:rFonts w:ascii="Arial Narrow" w:hAnsi="Arial Narrow" w:cs="Calibri"/>
          <w:szCs w:val="24"/>
          <w:shd w:val="clear" w:color="auto" w:fill="FFFFFF"/>
        </w:rPr>
        <w:t xml:space="preserve"> </w:t>
      </w:r>
      <w:r w:rsidRPr="000140D2">
        <w:rPr>
          <w:rFonts w:ascii="Arial Narrow" w:hAnsi="Arial Narrow" w:cs="Calibri"/>
          <w:szCs w:val="24"/>
          <w:shd w:val="clear" w:color="auto" w:fill="FFFFFF"/>
        </w:rPr>
        <w:t>- VIGIA los ingresos de la referida anualidad</w:t>
      </w:r>
      <w:r w:rsidR="00F50AC9">
        <w:rPr>
          <w:rFonts w:ascii="Arial Narrow" w:hAnsi="Arial Narrow" w:cs="Calibri"/>
          <w:szCs w:val="24"/>
          <w:shd w:val="clear" w:color="auto" w:fill="FFFFFF"/>
        </w:rPr>
        <w:t>;</w:t>
      </w:r>
      <w:r w:rsidRPr="000140D2">
        <w:rPr>
          <w:rFonts w:ascii="Arial Narrow" w:hAnsi="Arial Narrow" w:cs="Calibri"/>
          <w:szCs w:val="24"/>
          <w:shd w:val="clear" w:color="auto" w:fill="FFFFFF"/>
        </w:rPr>
        <w:t xml:space="preserve"> la liquidación de la segunda cuota </w:t>
      </w:r>
      <w:r w:rsidR="00F50AC9">
        <w:rPr>
          <w:rFonts w:ascii="Arial Narrow" w:hAnsi="Arial Narrow" w:cs="Calibri"/>
          <w:szCs w:val="24"/>
          <w:shd w:val="clear" w:color="auto" w:fill="FFFFFF"/>
        </w:rPr>
        <w:t xml:space="preserve">será equivalente al resultado de </w:t>
      </w:r>
      <w:r w:rsidRPr="000140D2">
        <w:rPr>
          <w:rFonts w:ascii="Arial Narrow" w:hAnsi="Arial Narrow" w:cs="Calibri"/>
          <w:szCs w:val="24"/>
          <w:shd w:val="clear" w:color="auto" w:fill="FFFFFF"/>
        </w:rPr>
        <w:t xml:space="preserve">multiplicar </w:t>
      </w:r>
      <w:r w:rsidR="00F50AC9" w:rsidRPr="00F50AC9">
        <w:rPr>
          <w:rFonts w:ascii="Arial Narrow" w:hAnsi="Arial Narrow" w:cs="Calibri"/>
          <w:szCs w:val="24"/>
          <w:shd w:val="clear" w:color="auto" w:fill="FFFFFF"/>
        </w:rPr>
        <w:t>las tarifas diferenciales definidas en el artículo 2 de la presente resolución, de acuerdo al tipo de supervisión</w:t>
      </w:r>
      <w:r w:rsidR="00F50AC9">
        <w:rPr>
          <w:rFonts w:ascii="Arial Narrow" w:hAnsi="Arial Narrow" w:cs="Calibri"/>
          <w:szCs w:val="24"/>
          <w:shd w:val="clear" w:color="auto" w:fill="FFFFFF"/>
        </w:rPr>
        <w:t>,</w:t>
      </w:r>
      <w:r w:rsidR="00F50AC9" w:rsidRPr="00F50AC9">
        <w:rPr>
          <w:rFonts w:ascii="Arial Narrow" w:hAnsi="Arial Narrow" w:cs="Calibri"/>
          <w:szCs w:val="24"/>
          <w:shd w:val="clear" w:color="auto" w:fill="FFFFFF"/>
        </w:rPr>
        <w:t xml:space="preserve"> </w:t>
      </w:r>
      <w:r w:rsidRPr="000140D2">
        <w:rPr>
          <w:rFonts w:ascii="Arial Narrow" w:hAnsi="Arial Narrow" w:cs="Calibri"/>
          <w:szCs w:val="24"/>
          <w:shd w:val="clear" w:color="auto" w:fill="FFFFFF"/>
        </w:rPr>
        <w:t xml:space="preserve">por los ingresos </w:t>
      </w:r>
      <w:r w:rsidR="00F50AC9">
        <w:rPr>
          <w:rFonts w:ascii="Arial Narrow" w:hAnsi="Arial Narrow" w:cs="Calibri"/>
          <w:szCs w:val="24"/>
          <w:shd w:val="clear" w:color="auto" w:fill="FFFFFF"/>
        </w:rPr>
        <w:t>efectivamente reportados</w:t>
      </w:r>
      <w:r w:rsidRPr="000140D2">
        <w:rPr>
          <w:rFonts w:ascii="Arial Narrow" w:hAnsi="Arial Narrow" w:cs="Calibri"/>
          <w:szCs w:val="24"/>
          <w:shd w:val="clear" w:color="auto" w:fill="FFFFFF"/>
        </w:rPr>
        <w:t xml:space="preserve"> del año 2019</w:t>
      </w:r>
      <w:r w:rsidR="00F50AC9">
        <w:rPr>
          <w:rFonts w:ascii="Arial Narrow" w:hAnsi="Arial Narrow" w:cs="Calibri"/>
          <w:szCs w:val="24"/>
          <w:shd w:val="clear" w:color="auto" w:fill="FFFFFF"/>
        </w:rPr>
        <w:t>, menos</w:t>
      </w:r>
      <w:r w:rsidRPr="000140D2">
        <w:rPr>
          <w:rFonts w:ascii="Arial Narrow" w:hAnsi="Arial Narrow" w:cs="Calibri"/>
          <w:szCs w:val="24"/>
          <w:shd w:val="clear" w:color="auto" w:fill="FFFFFF"/>
        </w:rPr>
        <w:t xml:space="preserve"> el valor pagado</w:t>
      </w:r>
      <w:r w:rsidR="00F50AC9">
        <w:rPr>
          <w:rFonts w:ascii="Arial Narrow" w:hAnsi="Arial Narrow" w:cs="Calibri"/>
          <w:szCs w:val="24"/>
          <w:shd w:val="clear" w:color="auto" w:fill="FFFFFF"/>
        </w:rPr>
        <w:t xml:space="preserve"> por el vigilado</w:t>
      </w:r>
      <w:r w:rsidRPr="000140D2">
        <w:rPr>
          <w:rFonts w:ascii="Arial Narrow" w:hAnsi="Arial Narrow" w:cs="Calibri"/>
          <w:szCs w:val="24"/>
          <w:shd w:val="clear" w:color="auto" w:fill="FFFFFF"/>
        </w:rPr>
        <w:t xml:space="preserve"> en la primera cuota.</w:t>
      </w:r>
    </w:p>
    <w:p w14:paraId="12CEDAE8" w14:textId="1D4D8BC8" w:rsidR="000140D2" w:rsidRDefault="000140D2" w:rsidP="000140D2">
      <w:pPr>
        <w:ind w:right="50"/>
        <w:jc w:val="both"/>
        <w:rPr>
          <w:rFonts w:ascii="Arial Narrow" w:hAnsi="Arial Narrow" w:cs="Calibri"/>
          <w:sz w:val="24"/>
          <w:szCs w:val="24"/>
          <w:shd w:val="clear" w:color="auto" w:fill="FFFFFF"/>
        </w:rPr>
      </w:pPr>
    </w:p>
    <w:p w14:paraId="42F83C4A" w14:textId="599C896B" w:rsidR="00246A71" w:rsidRDefault="00246A71" w:rsidP="00073929">
      <w:pPr>
        <w:ind w:left="708" w:right="50"/>
        <w:jc w:val="both"/>
        <w:rPr>
          <w:rFonts w:ascii="Arial Narrow" w:hAnsi="Arial Narrow" w:cs="Calibri"/>
          <w:sz w:val="24"/>
          <w:szCs w:val="24"/>
          <w:shd w:val="clear" w:color="auto" w:fill="FFFFFF"/>
        </w:rPr>
      </w:pPr>
      <w:r>
        <w:rPr>
          <w:rFonts w:ascii="Arial Narrow" w:hAnsi="Arial Narrow" w:cs="Calibri"/>
          <w:sz w:val="24"/>
          <w:szCs w:val="24"/>
          <w:shd w:val="clear" w:color="auto" w:fill="FFFFFF"/>
        </w:rPr>
        <w:t>Los</w:t>
      </w:r>
      <w:r w:rsidRPr="00246A71">
        <w:rPr>
          <w:rFonts w:ascii="Arial Narrow" w:hAnsi="Arial Narrow" w:cs="Calibri"/>
          <w:sz w:val="24"/>
          <w:szCs w:val="24"/>
          <w:shd w:val="clear" w:color="auto" w:fill="FFFFFF"/>
        </w:rPr>
        <w:t xml:space="preserve"> </w:t>
      </w:r>
      <w:r w:rsidRPr="00F50AC9">
        <w:rPr>
          <w:rFonts w:ascii="Arial Narrow" w:hAnsi="Arial Narrow" w:cs="Calibri"/>
          <w:b/>
          <w:bCs/>
          <w:sz w:val="24"/>
          <w:szCs w:val="24"/>
          <w:u w:val="single"/>
          <w:shd w:val="clear" w:color="auto" w:fill="FFFFFF"/>
        </w:rPr>
        <w:t>ingresos estimados para la vigencia 2019</w:t>
      </w:r>
      <w:r w:rsidRPr="00246A71">
        <w:rPr>
          <w:rFonts w:ascii="Arial Narrow" w:hAnsi="Arial Narrow" w:cs="Calibri"/>
          <w:sz w:val="24"/>
          <w:szCs w:val="24"/>
          <w:shd w:val="clear" w:color="auto" w:fill="FFFFFF"/>
        </w:rPr>
        <w:t xml:space="preserve"> se calculan multiplicando los ingresos debidamente reportados en la vigencia 2018 por el factor de expansión del 6,88% (variación del PIB nominal </w:t>
      </w:r>
      <w:proofErr w:type="spellStart"/>
      <w:r w:rsidRPr="00246A71">
        <w:rPr>
          <w:rFonts w:ascii="Arial Narrow" w:hAnsi="Arial Narrow" w:cs="Calibri"/>
          <w:sz w:val="24"/>
          <w:szCs w:val="24"/>
          <w:shd w:val="clear" w:color="auto" w:fill="FFFFFF"/>
        </w:rPr>
        <w:t>desestacionalizado</w:t>
      </w:r>
      <w:proofErr w:type="spellEnd"/>
      <w:r w:rsidRPr="00246A71">
        <w:rPr>
          <w:rFonts w:ascii="Arial Narrow" w:hAnsi="Arial Narrow" w:cs="Calibri"/>
          <w:sz w:val="24"/>
          <w:szCs w:val="24"/>
          <w:shd w:val="clear" w:color="auto" w:fill="FFFFFF"/>
        </w:rPr>
        <w:t xml:space="preserve"> del último trimestre del año 2018 al último trimestre del año 2019 del sector transporte) y por </w:t>
      </w:r>
      <w:r w:rsidR="00F50AC9">
        <w:rPr>
          <w:rFonts w:ascii="Arial Narrow" w:hAnsi="Arial Narrow" w:cs="Calibri"/>
          <w:sz w:val="24"/>
          <w:szCs w:val="24"/>
          <w:shd w:val="clear" w:color="auto" w:fill="FFFFFF"/>
        </w:rPr>
        <w:t>un nivel de confianza del</w:t>
      </w:r>
      <w:r w:rsidRPr="00246A71">
        <w:rPr>
          <w:rFonts w:ascii="Arial Narrow" w:hAnsi="Arial Narrow" w:cs="Calibri"/>
          <w:sz w:val="24"/>
          <w:szCs w:val="24"/>
          <w:shd w:val="clear" w:color="auto" w:fill="FFFFFF"/>
        </w:rPr>
        <w:t xml:space="preserve"> 95%.</w:t>
      </w:r>
    </w:p>
    <w:p w14:paraId="1A2BEB86" w14:textId="127D990E" w:rsidR="00AD6493" w:rsidRPr="006520B2" w:rsidRDefault="00AD6493" w:rsidP="000140D2">
      <w:pPr>
        <w:ind w:right="50"/>
        <w:jc w:val="both"/>
        <w:rPr>
          <w:rFonts w:ascii="Arial Narrow" w:hAnsi="Arial Narrow" w:cs="Calibri"/>
          <w:sz w:val="24"/>
          <w:szCs w:val="24"/>
          <w:shd w:val="clear" w:color="auto" w:fill="FFFFFF"/>
        </w:rPr>
      </w:pPr>
    </w:p>
    <w:p w14:paraId="2AF6EBEC" w14:textId="77777777" w:rsidR="006E5223" w:rsidRDefault="006E5223" w:rsidP="000140D2">
      <w:pPr>
        <w:ind w:right="50"/>
        <w:jc w:val="both"/>
        <w:rPr>
          <w:rFonts w:ascii="Arial Narrow" w:hAnsi="Arial Narrow" w:cs="Calibri"/>
          <w:sz w:val="24"/>
          <w:szCs w:val="24"/>
          <w:shd w:val="clear" w:color="auto" w:fill="FFFFFF"/>
        </w:rPr>
      </w:pPr>
    </w:p>
    <w:p w14:paraId="2CD83FB0" w14:textId="1237F783" w:rsidR="00F50AC9" w:rsidRDefault="006E5223" w:rsidP="006E5223">
      <w:pPr>
        <w:ind w:right="50"/>
        <w:jc w:val="both"/>
        <w:rPr>
          <w:rFonts w:ascii="Arial Narrow" w:hAnsi="Arial Narrow" w:cs="Calibri"/>
          <w:sz w:val="24"/>
          <w:szCs w:val="24"/>
          <w:shd w:val="clear" w:color="auto" w:fill="FFFFFF"/>
        </w:rPr>
      </w:pPr>
      <w:r w:rsidRPr="0040664C">
        <w:rPr>
          <w:rFonts w:ascii="Arial Narrow" w:hAnsi="Arial Narrow" w:cs="Calibri"/>
          <w:b/>
          <w:sz w:val="24"/>
          <w:szCs w:val="24"/>
          <w:shd w:val="clear" w:color="auto" w:fill="FFFFFF"/>
        </w:rPr>
        <w:t xml:space="preserve">Parágrafo </w:t>
      </w:r>
      <w:r w:rsidR="0095706A">
        <w:rPr>
          <w:rFonts w:ascii="Arial Narrow" w:hAnsi="Arial Narrow" w:cs="Calibri"/>
          <w:b/>
          <w:sz w:val="24"/>
          <w:szCs w:val="24"/>
          <w:shd w:val="clear" w:color="auto" w:fill="FFFFFF"/>
        </w:rPr>
        <w:t>Tercero</w:t>
      </w:r>
      <w:r w:rsidRPr="0040664C">
        <w:rPr>
          <w:rFonts w:ascii="Arial Narrow" w:hAnsi="Arial Narrow" w:cs="Calibri"/>
          <w:b/>
          <w:sz w:val="24"/>
          <w:szCs w:val="24"/>
          <w:shd w:val="clear" w:color="auto" w:fill="FFFFFF"/>
        </w:rPr>
        <w:t>:</w:t>
      </w:r>
      <w:r w:rsidRPr="0040664C">
        <w:rPr>
          <w:rFonts w:ascii="Arial Narrow" w:hAnsi="Arial Narrow" w:cs="Calibri"/>
          <w:sz w:val="24"/>
          <w:szCs w:val="24"/>
          <w:shd w:val="clear" w:color="auto" w:fill="FFFFFF"/>
        </w:rPr>
        <w:t xml:space="preserve"> La Dirección Financiera</w:t>
      </w:r>
      <w:r w:rsidR="00010E84" w:rsidRPr="0040664C">
        <w:rPr>
          <w:rFonts w:ascii="Arial Narrow" w:hAnsi="Arial Narrow" w:cs="Calibri"/>
          <w:sz w:val="24"/>
          <w:szCs w:val="24"/>
          <w:shd w:val="clear" w:color="auto" w:fill="FFFFFF"/>
        </w:rPr>
        <w:t xml:space="preserve"> de la Superintendencia de Transporte</w:t>
      </w:r>
      <w:r w:rsidRPr="0040664C">
        <w:rPr>
          <w:rFonts w:ascii="Arial Narrow" w:hAnsi="Arial Narrow" w:cs="Calibri"/>
          <w:sz w:val="24"/>
          <w:szCs w:val="24"/>
          <w:shd w:val="clear" w:color="auto" w:fill="FFFFFF"/>
        </w:rPr>
        <w:t xml:space="preserve">, en </w:t>
      </w:r>
      <w:r w:rsidR="00010E84" w:rsidRPr="0040664C">
        <w:rPr>
          <w:rFonts w:ascii="Arial Narrow" w:hAnsi="Arial Narrow" w:cs="Calibri"/>
          <w:sz w:val="24"/>
          <w:szCs w:val="24"/>
          <w:shd w:val="clear" w:color="auto" w:fill="FFFFFF"/>
        </w:rPr>
        <w:t xml:space="preserve">el </w:t>
      </w:r>
      <w:r w:rsidRPr="0040664C">
        <w:rPr>
          <w:rFonts w:ascii="Arial Narrow" w:hAnsi="Arial Narrow" w:cs="Calibri"/>
          <w:sz w:val="24"/>
          <w:szCs w:val="24"/>
          <w:shd w:val="clear" w:color="auto" w:fill="FFFFFF"/>
        </w:rPr>
        <w:t>ejercicio de</w:t>
      </w:r>
      <w:r w:rsidR="00010E84" w:rsidRPr="0040664C">
        <w:rPr>
          <w:rFonts w:ascii="Arial Narrow" w:hAnsi="Arial Narrow" w:cs="Calibri"/>
          <w:sz w:val="24"/>
          <w:szCs w:val="24"/>
          <w:shd w:val="clear" w:color="auto" w:fill="FFFFFF"/>
        </w:rPr>
        <w:t xml:space="preserve"> la función establecida en el numeral </w:t>
      </w:r>
      <w:r w:rsidR="00714B23" w:rsidRPr="0040664C">
        <w:rPr>
          <w:rFonts w:ascii="Arial Narrow" w:hAnsi="Arial Narrow" w:cs="Calibri"/>
          <w:sz w:val="24"/>
          <w:szCs w:val="24"/>
          <w:shd w:val="clear" w:color="auto" w:fill="FFFFFF"/>
        </w:rPr>
        <w:t>5 del artículo 24</w:t>
      </w:r>
      <w:r w:rsidR="00010E84" w:rsidRPr="0040664C">
        <w:rPr>
          <w:rFonts w:ascii="Arial Narrow" w:hAnsi="Arial Narrow" w:cs="Calibri"/>
          <w:sz w:val="24"/>
          <w:szCs w:val="24"/>
          <w:shd w:val="clear" w:color="auto" w:fill="FFFFFF"/>
        </w:rPr>
        <w:t xml:space="preserve"> del Decreto 2409 de 2018</w:t>
      </w:r>
      <w:r w:rsidR="00714B23" w:rsidRPr="0040664C">
        <w:rPr>
          <w:rStyle w:val="Refdenotaalpie"/>
          <w:rFonts w:ascii="Arial Narrow" w:hAnsi="Arial Narrow" w:cs="Calibri"/>
          <w:sz w:val="24"/>
          <w:szCs w:val="24"/>
          <w:shd w:val="clear" w:color="auto" w:fill="FFFFFF"/>
        </w:rPr>
        <w:footnoteReference w:id="2"/>
      </w:r>
      <w:r w:rsidR="00010E84" w:rsidRPr="0040664C">
        <w:rPr>
          <w:rFonts w:ascii="Arial Narrow" w:hAnsi="Arial Narrow" w:cs="Calibri"/>
          <w:sz w:val="24"/>
          <w:szCs w:val="24"/>
          <w:shd w:val="clear" w:color="auto" w:fill="FFFFFF"/>
        </w:rPr>
        <w:t xml:space="preserve">, </w:t>
      </w:r>
      <w:r w:rsidR="00F50AC9" w:rsidRPr="0040664C">
        <w:rPr>
          <w:rFonts w:ascii="Arial Narrow" w:hAnsi="Arial Narrow" w:cs="Calibri"/>
          <w:sz w:val="24"/>
          <w:szCs w:val="24"/>
          <w:shd w:val="clear" w:color="auto" w:fill="FFFFFF"/>
        </w:rPr>
        <w:t xml:space="preserve">podrá requerir </w:t>
      </w:r>
      <w:r w:rsidR="00010E84" w:rsidRPr="0040664C">
        <w:rPr>
          <w:rFonts w:ascii="Arial Narrow" w:hAnsi="Arial Narrow" w:cs="Calibri"/>
          <w:sz w:val="24"/>
          <w:szCs w:val="24"/>
          <w:shd w:val="clear" w:color="auto" w:fill="FFFFFF"/>
        </w:rPr>
        <w:t>a los vigilados,</w:t>
      </w:r>
      <w:r w:rsidR="00F50AC9" w:rsidRPr="0040664C">
        <w:rPr>
          <w:rFonts w:ascii="Arial Narrow" w:hAnsi="Arial Narrow" w:cs="Calibri"/>
          <w:sz w:val="24"/>
          <w:szCs w:val="24"/>
          <w:shd w:val="clear" w:color="auto" w:fill="FFFFFF"/>
        </w:rPr>
        <w:t xml:space="preserve"> los </w:t>
      </w:r>
      <w:r w:rsidR="00010E84" w:rsidRPr="0040664C">
        <w:rPr>
          <w:rFonts w:ascii="Arial Narrow" w:hAnsi="Arial Narrow" w:cs="Calibri"/>
          <w:sz w:val="24"/>
          <w:szCs w:val="24"/>
          <w:shd w:val="clear" w:color="auto" w:fill="FFFFFF"/>
        </w:rPr>
        <w:t>distintos documentos y anexos</w:t>
      </w:r>
      <w:r w:rsidR="00F50AC9" w:rsidRPr="0040664C">
        <w:rPr>
          <w:rFonts w:ascii="Arial Narrow" w:hAnsi="Arial Narrow" w:cs="Calibri"/>
          <w:sz w:val="24"/>
          <w:szCs w:val="24"/>
          <w:shd w:val="clear" w:color="auto" w:fill="FFFFFF"/>
        </w:rPr>
        <w:t xml:space="preserve"> que soporten las cifras reportada</w:t>
      </w:r>
      <w:r w:rsidR="00010E84" w:rsidRPr="0040664C">
        <w:rPr>
          <w:rFonts w:ascii="Arial Narrow" w:hAnsi="Arial Narrow" w:cs="Calibri"/>
          <w:sz w:val="24"/>
          <w:szCs w:val="24"/>
          <w:shd w:val="clear" w:color="auto" w:fill="FFFFFF"/>
        </w:rPr>
        <w:t>s a propósito de la liquidación de la Contribución Especial de Vigilancia.</w:t>
      </w:r>
      <w:r w:rsidR="00010E84">
        <w:rPr>
          <w:rFonts w:ascii="Arial Narrow" w:hAnsi="Arial Narrow" w:cs="Calibri"/>
          <w:sz w:val="24"/>
          <w:szCs w:val="24"/>
          <w:shd w:val="clear" w:color="auto" w:fill="FFFFFF"/>
        </w:rPr>
        <w:t xml:space="preserve"> </w:t>
      </w:r>
    </w:p>
    <w:p w14:paraId="16147797" w14:textId="2A3C8A2A" w:rsidR="00010E84" w:rsidRDefault="00010E84" w:rsidP="006E5223">
      <w:pPr>
        <w:ind w:right="50"/>
        <w:jc w:val="both"/>
        <w:rPr>
          <w:rFonts w:ascii="Arial Narrow" w:hAnsi="Arial Narrow" w:cs="Calibri"/>
          <w:sz w:val="24"/>
          <w:szCs w:val="24"/>
          <w:shd w:val="clear" w:color="auto" w:fill="FFFFFF"/>
        </w:rPr>
      </w:pPr>
    </w:p>
    <w:p w14:paraId="645DB194" w14:textId="081F0BA6" w:rsidR="00010E84" w:rsidRDefault="00010E84" w:rsidP="00010E84">
      <w:pPr>
        <w:ind w:right="50"/>
        <w:jc w:val="both"/>
        <w:rPr>
          <w:rFonts w:ascii="Arial Narrow" w:hAnsi="Arial Narrow" w:cs="Calibri"/>
          <w:sz w:val="24"/>
          <w:szCs w:val="24"/>
          <w:shd w:val="clear" w:color="auto" w:fill="FFFFFF"/>
        </w:rPr>
      </w:pPr>
      <w:r>
        <w:rPr>
          <w:rFonts w:ascii="Arial Narrow" w:hAnsi="Arial Narrow" w:cs="Calibri"/>
          <w:sz w:val="24"/>
          <w:szCs w:val="24"/>
          <w:shd w:val="clear" w:color="auto" w:fill="FFFFFF"/>
        </w:rPr>
        <w:t xml:space="preserve">De igual manera, en aquellos casos en que </w:t>
      </w:r>
      <w:r w:rsidR="00A61F83">
        <w:rPr>
          <w:rFonts w:ascii="Arial Narrow" w:hAnsi="Arial Narrow" w:cs="Calibri"/>
          <w:sz w:val="24"/>
          <w:szCs w:val="24"/>
          <w:shd w:val="clear" w:color="auto" w:fill="FFFFFF"/>
        </w:rPr>
        <w:t xml:space="preserve">se verifique que </w:t>
      </w:r>
      <w:r>
        <w:rPr>
          <w:rFonts w:ascii="Arial Narrow" w:hAnsi="Arial Narrow" w:cs="Calibri"/>
          <w:sz w:val="24"/>
          <w:szCs w:val="24"/>
          <w:shd w:val="clear" w:color="auto" w:fill="FFFFFF"/>
        </w:rPr>
        <w:t xml:space="preserve">el reporte de los ingresos se ha realizado de manera errónea, la Dirección Financiera </w:t>
      </w:r>
      <w:r w:rsidRPr="0009528A">
        <w:rPr>
          <w:rFonts w:ascii="Arial Narrow" w:hAnsi="Arial Narrow" w:cs="Calibri"/>
          <w:sz w:val="24"/>
          <w:szCs w:val="24"/>
          <w:shd w:val="clear" w:color="auto" w:fill="FFFFFF"/>
        </w:rPr>
        <w:t xml:space="preserve">podrá tomar el valor de los ingresos brutos derivados de las actividades </w:t>
      </w:r>
      <w:r>
        <w:rPr>
          <w:rFonts w:ascii="Arial Narrow" w:hAnsi="Arial Narrow" w:cs="Calibri"/>
          <w:sz w:val="24"/>
          <w:szCs w:val="24"/>
          <w:shd w:val="clear" w:color="auto" w:fill="FFFFFF"/>
        </w:rPr>
        <w:t>relacionadas con el tránsito, transporte, su infraestructura o sus servicios conexos y complementarios</w:t>
      </w:r>
      <w:r w:rsidRPr="0009528A">
        <w:rPr>
          <w:rFonts w:ascii="Arial Narrow" w:hAnsi="Arial Narrow" w:cs="Calibri"/>
          <w:sz w:val="24"/>
          <w:szCs w:val="24"/>
          <w:shd w:val="clear" w:color="auto" w:fill="FFFFFF"/>
        </w:rPr>
        <w:t>, consignado</w:t>
      </w:r>
      <w:r>
        <w:rPr>
          <w:rFonts w:ascii="Arial Narrow" w:hAnsi="Arial Narrow" w:cs="Calibri"/>
          <w:sz w:val="24"/>
          <w:szCs w:val="24"/>
          <w:shd w:val="clear" w:color="auto" w:fill="FFFFFF"/>
        </w:rPr>
        <w:t>s</w:t>
      </w:r>
      <w:r w:rsidRPr="0009528A">
        <w:rPr>
          <w:rFonts w:ascii="Arial Narrow" w:hAnsi="Arial Narrow" w:cs="Calibri"/>
          <w:sz w:val="24"/>
          <w:szCs w:val="24"/>
          <w:shd w:val="clear" w:color="auto" w:fill="FFFFFF"/>
        </w:rPr>
        <w:t xml:space="preserve"> en los estados financieros de los vigilados</w:t>
      </w:r>
      <w:r>
        <w:rPr>
          <w:rFonts w:ascii="Arial Narrow" w:hAnsi="Arial Narrow" w:cs="Calibri"/>
          <w:sz w:val="24"/>
          <w:szCs w:val="24"/>
          <w:shd w:val="clear" w:color="auto" w:fill="FFFFFF"/>
        </w:rPr>
        <w:t xml:space="preserve">, para la liquidación </w:t>
      </w:r>
      <w:r w:rsidRPr="00010E84">
        <w:rPr>
          <w:rFonts w:ascii="Arial Narrow" w:hAnsi="Arial Narrow" w:cs="Calibri"/>
          <w:sz w:val="24"/>
          <w:szCs w:val="24"/>
          <w:shd w:val="clear" w:color="auto" w:fill="FFFFFF"/>
        </w:rPr>
        <w:t>de la Contribución Especial de Vigilancia</w:t>
      </w:r>
      <w:r>
        <w:rPr>
          <w:rFonts w:ascii="Arial Narrow" w:hAnsi="Arial Narrow" w:cs="Calibri"/>
          <w:sz w:val="24"/>
          <w:szCs w:val="24"/>
          <w:shd w:val="clear" w:color="auto" w:fill="FFFFFF"/>
        </w:rPr>
        <w:t>.</w:t>
      </w:r>
    </w:p>
    <w:p w14:paraId="7E84EA36" w14:textId="77777777" w:rsidR="00437409" w:rsidRPr="002B3EE9" w:rsidRDefault="00437409" w:rsidP="00437409">
      <w:pPr>
        <w:ind w:right="50"/>
        <w:rPr>
          <w:rFonts w:ascii="Arial Narrow" w:hAnsi="Arial Narrow" w:cs="Calibri"/>
          <w:sz w:val="24"/>
          <w:szCs w:val="24"/>
          <w:highlight w:val="yellow"/>
          <w:shd w:val="clear" w:color="auto" w:fill="FFFFFF"/>
        </w:rPr>
      </w:pPr>
    </w:p>
    <w:p w14:paraId="4C1A1579" w14:textId="476C2549"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Artículo Cuarto: Plazo de Pago.</w:t>
      </w:r>
      <w:r w:rsidRPr="008339A1">
        <w:rPr>
          <w:rFonts w:ascii="Arial Narrow" w:hAnsi="Arial Narrow" w:cs="Calibri"/>
          <w:sz w:val="24"/>
          <w:szCs w:val="24"/>
          <w:shd w:val="clear" w:color="auto" w:fill="FFFFFF"/>
        </w:rPr>
        <w:t xml:space="preserve"> </w:t>
      </w:r>
      <w:r w:rsidR="008339A1" w:rsidRPr="008339A1">
        <w:rPr>
          <w:rFonts w:ascii="Arial Narrow" w:hAnsi="Arial Narrow" w:cs="Calibri"/>
          <w:sz w:val="24"/>
          <w:szCs w:val="24"/>
          <w:shd w:val="clear" w:color="auto" w:fill="FFFFFF"/>
        </w:rPr>
        <w:t>De conformidad con lo establecido en la Resolución número  6257 del 2 de abril de 2020</w:t>
      </w:r>
      <w:r w:rsidR="00205B9B">
        <w:rPr>
          <w:rStyle w:val="Refdenotaalpie"/>
          <w:rFonts w:ascii="Arial Narrow" w:hAnsi="Arial Narrow" w:cs="Calibri"/>
          <w:sz w:val="24"/>
          <w:szCs w:val="24"/>
          <w:shd w:val="clear" w:color="auto" w:fill="FFFFFF"/>
        </w:rPr>
        <w:footnoteReference w:id="3"/>
      </w:r>
      <w:r w:rsidR="008339A1" w:rsidRPr="008339A1">
        <w:rPr>
          <w:rFonts w:ascii="Arial Narrow" w:hAnsi="Arial Narrow" w:cs="Calibri"/>
          <w:sz w:val="24"/>
          <w:szCs w:val="24"/>
          <w:shd w:val="clear" w:color="auto" w:fill="FFFFFF"/>
        </w:rPr>
        <w:t>, e</w:t>
      </w:r>
      <w:r w:rsidRPr="008339A1">
        <w:rPr>
          <w:rFonts w:ascii="Arial Narrow" w:hAnsi="Arial Narrow" w:cs="Calibri"/>
          <w:sz w:val="24"/>
          <w:szCs w:val="24"/>
          <w:shd w:val="clear" w:color="auto" w:fill="FFFFFF"/>
        </w:rPr>
        <w:t xml:space="preserve">l pago de la </w:t>
      </w:r>
      <w:r w:rsidR="008339A1" w:rsidRPr="008339A1">
        <w:rPr>
          <w:rFonts w:ascii="Arial Narrow" w:hAnsi="Arial Narrow" w:cs="Calibri"/>
          <w:sz w:val="24"/>
          <w:szCs w:val="24"/>
          <w:shd w:val="clear" w:color="auto" w:fill="FFFFFF"/>
        </w:rPr>
        <w:t xml:space="preserve">primera y segunda cuota de la </w:t>
      </w:r>
      <w:r w:rsidRPr="008339A1">
        <w:rPr>
          <w:rFonts w:ascii="Arial Narrow" w:hAnsi="Arial Narrow" w:cs="Calibri"/>
          <w:sz w:val="24"/>
          <w:szCs w:val="24"/>
          <w:shd w:val="clear" w:color="auto" w:fill="FFFFFF"/>
        </w:rPr>
        <w:t>Contribución Especial de Vigilancia por parte de los vigilados de la Superintendenc</w:t>
      </w:r>
      <w:r w:rsidR="008339A1" w:rsidRPr="008339A1">
        <w:rPr>
          <w:rFonts w:ascii="Arial Narrow" w:hAnsi="Arial Narrow" w:cs="Calibri"/>
          <w:sz w:val="24"/>
          <w:szCs w:val="24"/>
          <w:shd w:val="clear" w:color="auto" w:fill="FFFFFF"/>
        </w:rPr>
        <w:t>ia de Tran</w:t>
      </w:r>
      <w:r w:rsidR="000140D2">
        <w:rPr>
          <w:rFonts w:ascii="Arial Narrow" w:hAnsi="Arial Narrow" w:cs="Calibri"/>
          <w:sz w:val="24"/>
          <w:szCs w:val="24"/>
          <w:shd w:val="clear" w:color="auto" w:fill="FFFFFF"/>
        </w:rPr>
        <w:t>sporte para el año 2020, deberá</w:t>
      </w:r>
      <w:r w:rsidR="008339A1" w:rsidRPr="008339A1">
        <w:rPr>
          <w:rFonts w:ascii="Arial Narrow" w:hAnsi="Arial Narrow" w:cs="Calibri"/>
          <w:sz w:val="24"/>
          <w:szCs w:val="24"/>
          <w:shd w:val="clear" w:color="auto" w:fill="FFFFFF"/>
        </w:rPr>
        <w:t xml:space="preserve"> efectuarse entre el </w:t>
      </w:r>
      <w:r w:rsidR="008339A1" w:rsidRPr="008339A1">
        <w:rPr>
          <w:rFonts w:ascii="Arial Narrow" w:hAnsi="Arial Narrow" w:cs="Calibri"/>
          <w:sz w:val="24"/>
          <w:szCs w:val="24"/>
          <w:u w:val="single"/>
          <w:shd w:val="clear" w:color="auto" w:fill="FFFFFF"/>
        </w:rPr>
        <w:t xml:space="preserve">1 </w:t>
      </w:r>
      <w:r w:rsidR="00010E84">
        <w:rPr>
          <w:rFonts w:ascii="Arial Narrow" w:hAnsi="Arial Narrow" w:cs="Calibri"/>
          <w:sz w:val="24"/>
          <w:szCs w:val="24"/>
          <w:u w:val="single"/>
          <w:shd w:val="clear" w:color="auto" w:fill="FFFFFF"/>
        </w:rPr>
        <w:t>y el</w:t>
      </w:r>
      <w:r w:rsidR="008339A1" w:rsidRPr="008339A1">
        <w:rPr>
          <w:rFonts w:ascii="Arial Narrow" w:hAnsi="Arial Narrow" w:cs="Calibri"/>
          <w:sz w:val="24"/>
          <w:szCs w:val="24"/>
          <w:u w:val="single"/>
          <w:shd w:val="clear" w:color="auto" w:fill="FFFFFF"/>
        </w:rPr>
        <w:t xml:space="preserve"> 31 de diciembre de 2020.</w:t>
      </w:r>
    </w:p>
    <w:p w14:paraId="1FB6A68A" w14:textId="77777777" w:rsidR="00437409" w:rsidRPr="002B3EE9" w:rsidRDefault="00437409" w:rsidP="00437409">
      <w:pPr>
        <w:ind w:right="50"/>
        <w:jc w:val="both"/>
        <w:rPr>
          <w:rFonts w:ascii="Arial Narrow" w:hAnsi="Arial Narrow" w:cs="Calibri"/>
          <w:sz w:val="24"/>
          <w:szCs w:val="24"/>
          <w:highlight w:val="yellow"/>
          <w:shd w:val="clear" w:color="auto" w:fill="FFFFFF"/>
        </w:rPr>
      </w:pPr>
    </w:p>
    <w:p w14:paraId="3D1FBEF8" w14:textId="72444261" w:rsidR="00437409" w:rsidRPr="000866F1" w:rsidRDefault="00437409" w:rsidP="00437409">
      <w:pPr>
        <w:ind w:right="50"/>
        <w:jc w:val="both"/>
        <w:rPr>
          <w:rFonts w:ascii="Arial Narrow" w:hAnsi="Arial Narrow" w:cs="Calibri"/>
          <w:sz w:val="24"/>
          <w:szCs w:val="24"/>
          <w:shd w:val="clear" w:color="auto" w:fill="FFFFFF"/>
        </w:rPr>
      </w:pPr>
      <w:r w:rsidRPr="000866F1">
        <w:rPr>
          <w:rFonts w:ascii="Arial Narrow" w:hAnsi="Arial Narrow" w:cs="Calibri"/>
          <w:b/>
          <w:sz w:val="24"/>
          <w:szCs w:val="24"/>
          <w:shd w:val="clear" w:color="auto" w:fill="FFFFFF"/>
        </w:rPr>
        <w:t xml:space="preserve">Parágrafo Primero: </w:t>
      </w:r>
      <w:r w:rsidRPr="000866F1">
        <w:rPr>
          <w:rFonts w:ascii="Arial Narrow" w:hAnsi="Arial Narrow" w:cs="Calibri"/>
          <w:sz w:val="24"/>
          <w:szCs w:val="24"/>
          <w:shd w:val="clear" w:color="auto" w:fill="FFFFFF"/>
        </w:rPr>
        <w:t xml:space="preserve">El pago de la Contribución Especial de </w:t>
      </w:r>
      <w:r w:rsidR="008339A1" w:rsidRPr="000866F1">
        <w:rPr>
          <w:rFonts w:ascii="Arial Narrow" w:hAnsi="Arial Narrow" w:cs="Calibri"/>
          <w:sz w:val="24"/>
          <w:szCs w:val="24"/>
          <w:shd w:val="clear" w:color="auto" w:fill="FFFFFF"/>
        </w:rPr>
        <w:t>Vigilancia para la vigencia 2020</w:t>
      </w:r>
      <w:r w:rsidRPr="000866F1">
        <w:rPr>
          <w:rFonts w:ascii="Arial Narrow" w:hAnsi="Arial Narrow" w:cs="Calibri"/>
          <w:sz w:val="24"/>
          <w:szCs w:val="24"/>
          <w:shd w:val="clear" w:color="auto" w:fill="FFFFFF"/>
        </w:rPr>
        <w:t xml:space="preserve">, se realizará </w:t>
      </w:r>
      <w:r w:rsidR="000866F1" w:rsidRPr="000866F1">
        <w:rPr>
          <w:rFonts w:ascii="Arial Narrow" w:hAnsi="Arial Narrow" w:cs="Calibri"/>
          <w:sz w:val="24"/>
          <w:szCs w:val="24"/>
          <w:shd w:val="clear" w:color="auto" w:fill="FFFFFF"/>
        </w:rPr>
        <w:t>por parte del vigilado mediante recibo con código de barras</w:t>
      </w:r>
      <w:r w:rsidR="00544767">
        <w:rPr>
          <w:rFonts w:ascii="Arial Narrow" w:hAnsi="Arial Narrow" w:cs="Calibri"/>
          <w:sz w:val="24"/>
          <w:szCs w:val="24"/>
          <w:shd w:val="clear" w:color="auto" w:fill="FFFFFF"/>
        </w:rPr>
        <w:t xml:space="preserve"> </w:t>
      </w:r>
      <w:r w:rsidR="00544767" w:rsidRPr="000866F1">
        <w:rPr>
          <w:rFonts w:ascii="Arial Narrow" w:hAnsi="Arial Narrow" w:cs="Calibri"/>
          <w:sz w:val="24"/>
          <w:szCs w:val="24"/>
          <w:shd w:val="clear" w:color="auto" w:fill="FFFFFF"/>
        </w:rPr>
        <w:t>o a través del botón de pago PSE</w:t>
      </w:r>
      <w:r w:rsidR="00544767">
        <w:rPr>
          <w:rFonts w:ascii="Arial Narrow" w:hAnsi="Arial Narrow" w:cs="Calibri"/>
          <w:sz w:val="24"/>
          <w:szCs w:val="24"/>
          <w:shd w:val="clear" w:color="auto" w:fill="FFFFFF"/>
        </w:rPr>
        <w:t>, dicho recibo</w:t>
      </w:r>
      <w:r w:rsidR="000866F1" w:rsidRPr="000866F1">
        <w:rPr>
          <w:rFonts w:ascii="Arial Narrow" w:hAnsi="Arial Narrow" w:cs="Calibri"/>
          <w:sz w:val="24"/>
          <w:szCs w:val="24"/>
          <w:shd w:val="clear" w:color="auto" w:fill="FFFFFF"/>
        </w:rPr>
        <w:t xml:space="preserve"> </w:t>
      </w:r>
      <w:r w:rsidR="00544767">
        <w:rPr>
          <w:rFonts w:ascii="Arial Narrow" w:hAnsi="Arial Narrow" w:cs="Calibri"/>
          <w:sz w:val="24"/>
          <w:szCs w:val="24"/>
          <w:shd w:val="clear" w:color="auto" w:fill="FFFFFF"/>
        </w:rPr>
        <w:t xml:space="preserve">deberá </w:t>
      </w:r>
      <w:r w:rsidR="00544767" w:rsidRPr="000866F1">
        <w:rPr>
          <w:rFonts w:ascii="Arial Narrow" w:hAnsi="Arial Narrow" w:cs="Calibri"/>
          <w:sz w:val="24"/>
          <w:szCs w:val="24"/>
          <w:shd w:val="clear" w:color="auto" w:fill="FFFFFF"/>
        </w:rPr>
        <w:t>descarga</w:t>
      </w:r>
      <w:r w:rsidR="00544767">
        <w:rPr>
          <w:rFonts w:ascii="Arial Narrow" w:hAnsi="Arial Narrow" w:cs="Calibri"/>
          <w:sz w:val="24"/>
          <w:szCs w:val="24"/>
          <w:shd w:val="clear" w:color="auto" w:fill="FFFFFF"/>
        </w:rPr>
        <w:t>rse</w:t>
      </w:r>
      <w:r w:rsidR="00544767" w:rsidRPr="000866F1">
        <w:rPr>
          <w:rFonts w:ascii="Arial Narrow" w:hAnsi="Arial Narrow" w:cs="Calibri"/>
          <w:sz w:val="24"/>
          <w:szCs w:val="24"/>
          <w:shd w:val="clear" w:color="auto" w:fill="FFFFFF"/>
        </w:rPr>
        <w:t xml:space="preserve"> del</w:t>
      </w:r>
      <w:r w:rsidR="000866F1" w:rsidRPr="000866F1">
        <w:rPr>
          <w:rFonts w:ascii="Arial Narrow" w:hAnsi="Arial Narrow" w:cs="Calibri"/>
          <w:sz w:val="24"/>
          <w:szCs w:val="24"/>
          <w:shd w:val="clear" w:color="auto" w:fill="FFFFFF"/>
        </w:rPr>
        <w:t xml:space="preserve"> aplicativo </w:t>
      </w:r>
      <w:r w:rsidR="00CA5751">
        <w:rPr>
          <w:rFonts w:ascii="Arial Narrow" w:hAnsi="Arial Narrow" w:cs="Calibri"/>
          <w:sz w:val="24"/>
          <w:szCs w:val="24"/>
          <w:shd w:val="clear" w:color="auto" w:fill="FFFFFF"/>
        </w:rPr>
        <w:t>Consola C-</w:t>
      </w:r>
      <w:proofErr w:type="spellStart"/>
      <w:r w:rsidR="00CA5751">
        <w:rPr>
          <w:rFonts w:ascii="Arial Narrow" w:hAnsi="Arial Narrow" w:cs="Calibri"/>
          <w:sz w:val="24"/>
          <w:szCs w:val="24"/>
          <w:shd w:val="clear" w:color="auto" w:fill="FFFFFF"/>
        </w:rPr>
        <w:t>Taux</w:t>
      </w:r>
      <w:proofErr w:type="spellEnd"/>
      <w:r w:rsidR="000866F1" w:rsidRPr="000866F1">
        <w:rPr>
          <w:rFonts w:ascii="Arial Narrow" w:hAnsi="Arial Narrow" w:cs="Calibri"/>
          <w:sz w:val="24"/>
          <w:szCs w:val="24"/>
          <w:shd w:val="clear" w:color="auto" w:fill="FFFFFF"/>
        </w:rPr>
        <w:t xml:space="preserve"> una vez recibido </w:t>
      </w:r>
      <w:r w:rsidRPr="000866F1">
        <w:rPr>
          <w:rFonts w:ascii="Arial Narrow" w:hAnsi="Arial Narrow" w:cs="Calibri"/>
          <w:sz w:val="24"/>
          <w:szCs w:val="24"/>
          <w:shd w:val="clear" w:color="auto" w:fill="FFFFFF"/>
        </w:rPr>
        <w:t>el correo electrónico con código de seguridad</w:t>
      </w:r>
      <w:r w:rsidR="00CA5751">
        <w:rPr>
          <w:rFonts w:ascii="Arial Narrow" w:hAnsi="Arial Narrow" w:cs="Calibri"/>
          <w:sz w:val="24"/>
          <w:szCs w:val="24"/>
          <w:shd w:val="clear" w:color="auto" w:fill="FFFFFF"/>
        </w:rPr>
        <w:t>.</w:t>
      </w:r>
    </w:p>
    <w:p w14:paraId="05EE0AD6" w14:textId="77777777" w:rsidR="00437409" w:rsidRPr="00530A45" w:rsidRDefault="00437409" w:rsidP="00437409">
      <w:pPr>
        <w:ind w:right="50"/>
        <w:rPr>
          <w:rFonts w:ascii="Arial Narrow" w:hAnsi="Arial Narrow" w:cs="Calibri"/>
          <w:sz w:val="24"/>
          <w:szCs w:val="24"/>
          <w:highlight w:val="yellow"/>
          <w:shd w:val="clear" w:color="auto" w:fill="FFFFFF"/>
        </w:rPr>
      </w:pPr>
    </w:p>
    <w:p w14:paraId="182265F2" w14:textId="77777777" w:rsidR="00C56C35" w:rsidRPr="00E6016F" w:rsidRDefault="00E6016F" w:rsidP="00437409">
      <w:pPr>
        <w:ind w:right="50"/>
        <w:jc w:val="both"/>
        <w:rPr>
          <w:rFonts w:ascii="Arial Narrow" w:hAnsi="Arial Narrow" w:cs="Calibri"/>
          <w:sz w:val="24"/>
          <w:szCs w:val="24"/>
          <w:shd w:val="clear" w:color="auto" w:fill="FFFFFF"/>
        </w:rPr>
      </w:pPr>
      <w:r w:rsidRPr="00E6016F">
        <w:rPr>
          <w:rFonts w:ascii="Arial Narrow" w:hAnsi="Arial Narrow" w:cs="Calibri"/>
          <w:b/>
          <w:sz w:val="24"/>
          <w:szCs w:val="24"/>
          <w:shd w:val="clear" w:color="auto" w:fill="FFFFFF"/>
        </w:rPr>
        <w:t>Parágrafo Segundo</w:t>
      </w:r>
      <w:r w:rsidR="00437409" w:rsidRPr="00E6016F">
        <w:rPr>
          <w:rFonts w:ascii="Arial Narrow" w:hAnsi="Arial Narrow" w:cs="Calibri"/>
          <w:b/>
          <w:sz w:val="24"/>
          <w:szCs w:val="24"/>
          <w:shd w:val="clear" w:color="auto" w:fill="FFFFFF"/>
        </w:rPr>
        <w:t xml:space="preserve">: </w:t>
      </w:r>
      <w:r w:rsidR="00437409" w:rsidRPr="00E6016F">
        <w:rPr>
          <w:rFonts w:ascii="Arial Narrow" w:hAnsi="Arial Narrow" w:cs="Calibri"/>
          <w:sz w:val="24"/>
          <w:szCs w:val="24"/>
          <w:shd w:val="clear" w:color="auto" w:fill="FFFFFF"/>
        </w:rPr>
        <w:t>El pago de la Contribución Especial de Vigilan</w:t>
      </w:r>
      <w:r w:rsidR="000866F1" w:rsidRPr="00E6016F">
        <w:rPr>
          <w:rFonts w:ascii="Arial Narrow" w:hAnsi="Arial Narrow" w:cs="Calibri"/>
          <w:sz w:val="24"/>
          <w:szCs w:val="24"/>
          <w:shd w:val="clear" w:color="auto" w:fill="FFFFFF"/>
        </w:rPr>
        <w:t>cia para la vigencia fiscal 2020</w:t>
      </w:r>
      <w:r w:rsidR="00437409" w:rsidRPr="00E6016F">
        <w:rPr>
          <w:rFonts w:ascii="Arial Narrow" w:hAnsi="Arial Narrow" w:cs="Calibri"/>
          <w:sz w:val="24"/>
          <w:szCs w:val="24"/>
          <w:shd w:val="clear" w:color="auto" w:fill="FFFFFF"/>
        </w:rPr>
        <w:t xml:space="preserve">, deberá realizarse en cualquiera de las sucursales del Banco de Occidente a nivel nacional, en efectivo o a través de cheque de gerencia girado a favor de la Superintendencia de Transporte con NIT 800.170.433 - 6 en la cuenta corriente No. 223-03504-9 </w:t>
      </w:r>
      <w:r w:rsidR="00437409" w:rsidRPr="00E6016F">
        <w:rPr>
          <w:rFonts w:ascii="Arial Narrow" w:hAnsi="Arial Narrow" w:cs="Calibri"/>
          <w:sz w:val="24"/>
          <w:szCs w:val="24"/>
          <w:shd w:val="clear" w:color="auto" w:fill="FFFFFF"/>
          <w:lang w:val="es-CO"/>
        </w:rPr>
        <w:t>denominada Superintendencia de Transporte / Contribución y multas</w:t>
      </w:r>
      <w:r w:rsidR="00437409" w:rsidRPr="00E6016F">
        <w:rPr>
          <w:rFonts w:ascii="Arial Narrow" w:hAnsi="Arial Narrow" w:cs="Calibri"/>
          <w:sz w:val="24"/>
          <w:szCs w:val="24"/>
          <w:shd w:val="clear" w:color="auto" w:fill="FFFFFF"/>
        </w:rPr>
        <w:t>, utilizando para ello el cupón de pago con código de barras</w:t>
      </w:r>
      <w:r w:rsidR="000866F1" w:rsidRPr="00E6016F">
        <w:rPr>
          <w:rFonts w:ascii="Arial Narrow" w:hAnsi="Arial Narrow" w:cs="Calibri"/>
          <w:sz w:val="24"/>
          <w:szCs w:val="24"/>
          <w:shd w:val="clear" w:color="auto" w:fill="FFFFFF"/>
        </w:rPr>
        <w:t>.</w:t>
      </w:r>
      <w:r w:rsidRPr="00E6016F">
        <w:rPr>
          <w:rFonts w:ascii="Arial Narrow" w:hAnsi="Arial Narrow" w:cs="Calibri"/>
          <w:sz w:val="24"/>
          <w:szCs w:val="24"/>
          <w:shd w:val="clear" w:color="auto" w:fill="FFFFFF"/>
        </w:rPr>
        <w:t xml:space="preserve"> Del mismo modo, se reitera que podrá efectuarse el pago de la obligación a través del botón de pagos PSE, a la misma cuenta recaudadora.</w:t>
      </w:r>
    </w:p>
    <w:p w14:paraId="7AADC336" w14:textId="77777777" w:rsidR="00437409" w:rsidRPr="008339A1" w:rsidRDefault="00437409" w:rsidP="00437409">
      <w:pPr>
        <w:ind w:right="50"/>
        <w:rPr>
          <w:rFonts w:ascii="Arial Narrow" w:hAnsi="Arial Narrow" w:cs="Calibri"/>
          <w:b/>
          <w:sz w:val="24"/>
          <w:szCs w:val="24"/>
          <w:shd w:val="clear" w:color="auto" w:fill="FFFFFF"/>
        </w:rPr>
      </w:pPr>
    </w:p>
    <w:p w14:paraId="7726E7B3" w14:textId="6E9DAAF1"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Artículo Quinto: Causación de intereses moratorios. </w:t>
      </w:r>
      <w:r w:rsidRPr="008339A1">
        <w:rPr>
          <w:rFonts w:ascii="Arial Narrow" w:hAnsi="Arial Narrow" w:cs="Calibri"/>
          <w:sz w:val="24"/>
          <w:szCs w:val="24"/>
          <w:shd w:val="clear" w:color="auto" w:fill="FFFFFF"/>
        </w:rPr>
        <w:t>El incumplimiento en el pago de cualquiera de las dos cuotas de la Contribución Especia</w:t>
      </w:r>
      <w:r w:rsidR="008339A1" w:rsidRPr="008339A1">
        <w:rPr>
          <w:rFonts w:ascii="Arial Narrow" w:hAnsi="Arial Narrow" w:cs="Calibri"/>
          <w:sz w:val="24"/>
          <w:szCs w:val="24"/>
          <w:shd w:val="clear" w:color="auto" w:fill="FFFFFF"/>
        </w:rPr>
        <w:t>l de Vigilancia para el año 2020</w:t>
      </w:r>
      <w:r w:rsidRPr="008339A1">
        <w:rPr>
          <w:rFonts w:ascii="Arial Narrow" w:hAnsi="Arial Narrow" w:cs="Calibri"/>
          <w:sz w:val="24"/>
          <w:szCs w:val="24"/>
          <w:shd w:val="clear" w:color="auto" w:fill="FFFFFF"/>
        </w:rPr>
        <w:t xml:space="preserve">, en la forma y dentro del plazo establecido en el presente acto administrativo, generará la obligación de pagar intereses moratorios en los términos </w:t>
      </w:r>
      <w:r w:rsidR="00010E84">
        <w:rPr>
          <w:rFonts w:ascii="Arial Narrow" w:hAnsi="Arial Narrow" w:cs="Calibri"/>
          <w:sz w:val="24"/>
          <w:szCs w:val="24"/>
          <w:shd w:val="clear" w:color="auto" w:fill="FFFFFF"/>
        </w:rPr>
        <w:t xml:space="preserve">establecidos en </w:t>
      </w:r>
      <w:r w:rsidRPr="008339A1">
        <w:rPr>
          <w:rFonts w:ascii="Arial Narrow" w:hAnsi="Arial Narrow" w:cs="Calibri"/>
          <w:sz w:val="24"/>
          <w:szCs w:val="24"/>
          <w:shd w:val="clear" w:color="auto" w:fill="FFFFFF"/>
        </w:rPr>
        <w:t>el artículo 3</w:t>
      </w:r>
      <w:r w:rsidRPr="008339A1">
        <w:rPr>
          <w:rFonts w:ascii="Arial Narrow" w:hAnsi="Arial Narrow" w:cs="Calibri"/>
          <w:b/>
          <w:sz w:val="24"/>
          <w:szCs w:val="24"/>
          <w:shd w:val="clear" w:color="auto" w:fill="FFFFFF"/>
        </w:rPr>
        <w:t xml:space="preserve"> </w:t>
      </w:r>
      <w:r w:rsidRPr="008339A1">
        <w:rPr>
          <w:rFonts w:ascii="Arial Narrow" w:hAnsi="Arial Narrow" w:cs="Calibri"/>
          <w:sz w:val="24"/>
          <w:szCs w:val="24"/>
          <w:shd w:val="clear" w:color="auto" w:fill="FFFFFF"/>
        </w:rPr>
        <w:t xml:space="preserve">de la Ley 1066 de 2006, esto es, a la tasa de interés diario que sea equivalente a la tasa de usura vigente determinada por la Superintendencia Financiera de Colombia para las modalidades de crédito de consumo, menos dos (2) puntos, prevista en el artículo 635 del Estatuto Tributario, modificado por el artículo 279 de la Ley 1819 de 2016. </w:t>
      </w:r>
    </w:p>
    <w:p w14:paraId="0A4B1250" w14:textId="77777777" w:rsidR="00437409" w:rsidRPr="002B3EE9" w:rsidRDefault="00437409" w:rsidP="00437409">
      <w:pPr>
        <w:ind w:right="50"/>
        <w:rPr>
          <w:rFonts w:ascii="Arial Narrow" w:hAnsi="Arial Narrow" w:cs="Calibri"/>
          <w:b/>
          <w:sz w:val="24"/>
          <w:szCs w:val="24"/>
          <w:highlight w:val="yellow"/>
          <w:shd w:val="clear" w:color="auto" w:fill="FFFFFF"/>
        </w:rPr>
      </w:pPr>
    </w:p>
    <w:p w14:paraId="7D0A4420" w14:textId="00E1670E"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Artículo Sexto: Diferencias en la liquidación. </w:t>
      </w:r>
      <w:r w:rsidRPr="008339A1">
        <w:rPr>
          <w:rFonts w:ascii="Arial Narrow" w:hAnsi="Arial Narrow" w:cs="Calibri"/>
          <w:sz w:val="24"/>
          <w:szCs w:val="24"/>
          <w:shd w:val="clear" w:color="auto" w:fill="FFFFFF"/>
        </w:rPr>
        <w:t>S</w:t>
      </w:r>
      <w:r w:rsidR="00C76E8E">
        <w:rPr>
          <w:rFonts w:ascii="Arial Narrow" w:hAnsi="Arial Narrow" w:cs="Calibri"/>
          <w:sz w:val="24"/>
          <w:szCs w:val="24"/>
          <w:shd w:val="clear" w:color="auto" w:fill="FFFFFF"/>
        </w:rPr>
        <w:t>in perjuicio de las sanciones a que haya lugar, s</w:t>
      </w:r>
      <w:r w:rsidRPr="008339A1">
        <w:rPr>
          <w:rFonts w:ascii="Arial Narrow" w:hAnsi="Arial Narrow" w:cs="Calibri"/>
          <w:sz w:val="24"/>
          <w:szCs w:val="24"/>
          <w:shd w:val="clear" w:color="auto" w:fill="FFFFFF"/>
        </w:rPr>
        <w:t>i se presentare ajuste al reporte de ingresos por parte del sujeto supervisado, que produzca diferencias entre el valor que le correspondería pagar y el realmente pagado</w:t>
      </w:r>
      <w:r w:rsidR="00CA219C">
        <w:rPr>
          <w:rFonts w:ascii="Arial Narrow" w:hAnsi="Arial Narrow" w:cs="Calibri"/>
          <w:sz w:val="24"/>
          <w:szCs w:val="24"/>
          <w:shd w:val="clear" w:color="auto" w:fill="FFFFFF"/>
        </w:rPr>
        <w:t xml:space="preserve"> y/o liquidado</w:t>
      </w:r>
      <w:r w:rsidRPr="008339A1">
        <w:rPr>
          <w:rFonts w:ascii="Arial Narrow" w:hAnsi="Arial Narrow" w:cs="Calibri"/>
          <w:sz w:val="24"/>
          <w:szCs w:val="24"/>
          <w:shd w:val="clear" w:color="auto" w:fill="FFFFFF"/>
        </w:rPr>
        <w:t xml:space="preserve">, </w:t>
      </w:r>
      <w:r w:rsidR="00CA219C">
        <w:rPr>
          <w:rFonts w:ascii="Arial Narrow" w:hAnsi="Arial Narrow" w:cs="Calibri"/>
          <w:sz w:val="24"/>
          <w:szCs w:val="24"/>
          <w:shd w:val="clear" w:color="auto" w:fill="FFFFFF"/>
        </w:rPr>
        <w:t>dentro del año siguiente</w:t>
      </w:r>
      <w:r w:rsidR="00073929">
        <w:rPr>
          <w:rFonts w:ascii="Arial Narrow" w:hAnsi="Arial Narrow" w:cs="Calibri"/>
          <w:sz w:val="24"/>
          <w:szCs w:val="24"/>
          <w:shd w:val="clear" w:color="auto" w:fill="FFFFFF"/>
        </w:rPr>
        <w:t xml:space="preserve"> a</w:t>
      </w:r>
      <w:r w:rsidR="00CA219C">
        <w:rPr>
          <w:rFonts w:ascii="Arial Narrow" w:hAnsi="Arial Narrow" w:cs="Calibri"/>
          <w:sz w:val="24"/>
          <w:szCs w:val="24"/>
          <w:shd w:val="clear" w:color="auto" w:fill="FFFFFF"/>
        </w:rPr>
        <w:t xml:space="preserve"> la fecha de vencimiento del plazo para el pago de la segunda cuota, </w:t>
      </w:r>
      <w:r w:rsidRPr="008339A1">
        <w:rPr>
          <w:rFonts w:ascii="Arial Narrow" w:hAnsi="Arial Narrow" w:cs="Calibri"/>
          <w:sz w:val="24"/>
          <w:szCs w:val="24"/>
          <w:shd w:val="clear" w:color="auto" w:fill="FFFFFF"/>
        </w:rPr>
        <w:t xml:space="preserve">se procederá así: </w:t>
      </w:r>
    </w:p>
    <w:p w14:paraId="0DE48141" w14:textId="77777777" w:rsidR="00437409" w:rsidRPr="002B3EE9" w:rsidRDefault="00437409" w:rsidP="00437409">
      <w:pPr>
        <w:ind w:right="50"/>
        <w:rPr>
          <w:rFonts w:ascii="Arial Narrow" w:hAnsi="Arial Narrow" w:cs="Calibri"/>
          <w:sz w:val="24"/>
          <w:szCs w:val="24"/>
          <w:highlight w:val="yellow"/>
          <w:shd w:val="clear" w:color="auto" w:fill="FFFFFF"/>
        </w:rPr>
      </w:pPr>
    </w:p>
    <w:p w14:paraId="376CFCDB" w14:textId="5468C9D3" w:rsidR="00073929" w:rsidRPr="0095706A" w:rsidRDefault="00437409" w:rsidP="007430B3">
      <w:pPr>
        <w:numPr>
          <w:ilvl w:val="1"/>
          <w:numId w:val="3"/>
        </w:numPr>
        <w:spacing w:after="240"/>
        <w:ind w:left="1134" w:right="50" w:hanging="567"/>
        <w:jc w:val="both"/>
        <w:rPr>
          <w:rFonts w:ascii="Arial Narrow" w:hAnsi="Arial Narrow" w:cs="Calibri"/>
          <w:sz w:val="24"/>
          <w:szCs w:val="24"/>
          <w:shd w:val="clear" w:color="auto" w:fill="FFFFFF"/>
        </w:rPr>
      </w:pPr>
      <w:r w:rsidRPr="008339A1">
        <w:rPr>
          <w:rFonts w:ascii="Arial Narrow" w:hAnsi="Arial Narrow" w:cs="Calibri"/>
          <w:sz w:val="24"/>
          <w:szCs w:val="24"/>
          <w:shd w:val="clear" w:color="auto" w:fill="FFFFFF"/>
        </w:rPr>
        <w:t>Si el valor total pagado por el obligado es inferior al que le correspondía pagar, la Dirección Financiera de la Superintendencia de Transporte, expedirá una Resolución en la que se realizará la corrección de la liquidación, con el fin de que el sujeto supervisado proceda al pago de la diferencia</w:t>
      </w:r>
      <w:r w:rsidR="002E3319">
        <w:rPr>
          <w:rFonts w:ascii="Arial Narrow" w:hAnsi="Arial Narrow" w:cs="Calibri"/>
          <w:sz w:val="24"/>
          <w:szCs w:val="24"/>
          <w:shd w:val="clear" w:color="auto" w:fill="FFFFFF"/>
        </w:rPr>
        <w:t xml:space="preserve"> más</w:t>
      </w:r>
      <w:r w:rsidRPr="008339A1">
        <w:rPr>
          <w:rFonts w:ascii="Arial Narrow" w:hAnsi="Arial Narrow" w:cs="Calibri"/>
          <w:sz w:val="24"/>
          <w:szCs w:val="24"/>
          <w:shd w:val="clear" w:color="auto" w:fill="FFFFFF"/>
        </w:rPr>
        <w:t xml:space="preserve"> los intereses de mora generados a partir de la fecha de vencimiento del plazo establecido para el pago de la segunda cuota y la fecha efectiva de pago</w:t>
      </w:r>
    </w:p>
    <w:p w14:paraId="230809FE" w14:textId="539CD973" w:rsidR="00437409" w:rsidRPr="00073929" w:rsidRDefault="00437409" w:rsidP="00073929">
      <w:pPr>
        <w:numPr>
          <w:ilvl w:val="1"/>
          <w:numId w:val="3"/>
        </w:numPr>
        <w:spacing w:after="240"/>
        <w:ind w:left="1134" w:right="50" w:hanging="567"/>
        <w:jc w:val="both"/>
        <w:rPr>
          <w:rFonts w:ascii="Arial Narrow" w:hAnsi="Arial Narrow" w:cs="Calibri"/>
          <w:sz w:val="24"/>
          <w:szCs w:val="24"/>
          <w:shd w:val="clear" w:color="auto" w:fill="FFFFFF"/>
        </w:rPr>
      </w:pPr>
      <w:r w:rsidRPr="00073929">
        <w:rPr>
          <w:rFonts w:ascii="Arial Narrow" w:hAnsi="Arial Narrow" w:cs="Calibri"/>
          <w:sz w:val="24"/>
          <w:szCs w:val="24"/>
          <w:shd w:val="clear" w:color="auto" w:fill="FFFFFF"/>
        </w:rPr>
        <w:t xml:space="preserve">Si el valor total pagado por el obligado es mayor al que le correspondía pagar y el mismo no solicita la devolución del mayor valor pagado dentro del mes calendario siguiente a la fecha de ajuste al reporte de ingresos por el sujeto supervisado, la Dirección Financiera de la Superintendencia de Transporte, ordenará que el mayor valor pagado se abone a la primera cuota de </w:t>
      </w:r>
      <w:r w:rsidR="00713D61" w:rsidRPr="00073929">
        <w:rPr>
          <w:rFonts w:ascii="Arial Narrow" w:hAnsi="Arial Narrow" w:cs="Calibri"/>
          <w:sz w:val="24"/>
          <w:szCs w:val="24"/>
          <w:shd w:val="clear" w:color="auto" w:fill="FFFFFF"/>
        </w:rPr>
        <w:t xml:space="preserve">la </w:t>
      </w:r>
      <w:r w:rsidRPr="00073929">
        <w:rPr>
          <w:rFonts w:ascii="Arial Narrow" w:hAnsi="Arial Narrow" w:cs="Calibri"/>
          <w:sz w:val="24"/>
          <w:szCs w:val="24"/>
          <w:shd w:val="clear" w:color="auto" w:fill="FFFFFF"/>
        </w:rPr>
        <w:t>Contribución Especial de Vigilancia que deba pagar e</w:t>
      </w:r>
      <w:r w:rsidR="008339A1" w:rsidRPr="00073929">
        <w:rPr>
          <w:rFonts w:ascii="Arial Narrow" w:hAnsi="Arial Narrow" w:cs="Calibri"/>
          <w:sz w:val="24"/>
          <w:szCs w:val="24"/>
          <w:shd w:val="clear" w:color="auto" w:fill="FFFFFF"/>
        </w:rPr>
        <w:t>l vigilado para la vigencia 2021</w:t>
      </w:r>
      <w:r w:rsidRPr="00073929">
        <w:rPr>
          <w:rFonts w:ascii="Arial Narrow" w:hAnsi="Arial Narrow" w:cs="Calibri"/>
          <w:sz w:val="24"/>
          <w:szCs w:val="24"/>
          <w:shd w:val="clear" w:color="auto" w:fill="FFFFFF"/>
        </w:rPr>
        <w:t>.</w:t>
      </w:r>
    </w:p>
    <w:p w14:paraId="06742261" w14:textId="74DE86AB" w:rsidR="00437409"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lastRenderedPageBreak/>
        <w:t>Parágrafo</w:t>
      </w:r>
      <w:r w:rsidR="008339A1">
        <w:rPr>
          <w:rFonts w:ascii="Arial Narrow" w:hAnsi="Arial Narrow" w:cs="Calibri"/>
          <w:b/>
          <w:sz w:val="24"/>
          <w:szCs w:val="24"/>
          <w:shd w:val="clear" w:color="auto" w:fill="FFFFFF"/>
        </w:rPr>
        <w:t xml:space="preserve"> Primero:</w:t>
      </w:r>
      <w:r w:rsidRPr="008339A1">
        <w:rPr>
          <w:rFonts w:ascii="Arial Narrow" w:hAnsi="Arial Narrow" w:cs="Calibri"/>
          <w:b/>
          <w:sz w:val="24"/>
          <w:szCs w:val="24"/>
          <w:shd w:val="clear" w:color="auto" w:fill="FFFFFF"/>
        </w:rPr>
        <w:t xml:space="preserve"> </w:t>
      </w:r>
      <w:r w:rsidRPr="008339A1">
        <w:rPr>
          <w:rFonts w:ascii="Arial Narrow" w:hAnsi="Arial Narrow" w:cs="Calibri"/>
          <w:sz w:val="24"/>
          <w:szCs w:val="24"/>
          <w:shd w:val="clear" w:color="auto" w:fill="FFFFFF"/>
        </w:rPr>
        <w:t xml:space="preserve">Si eventualmente el valor de la primera cuota resultare mayor al valor total de la Contribución Especial </w:t>
      </w:r>
      <w:r w:rsidR="00713D61">
        <w:rPr>
          <w:rFonts w:ascii="Arial Narrow" w:hAnsi="Arial Narrow" w:cs="Calibri"/>
          <w:sz w:val="24"/>
          <w:szCs w:val="24"/>
          <w:shd w:val="clear" w:color="auto" w:fill="FFFFFF"/>
        </w:rPr>
        <w:t xml:space="preserve">de Vigilancia </w:t>
      </w:r>
      <w:r w:rsidR="008339A1" w:rsidRPr="008339A1">
        <w:rPr>
          <w:rFonts w:ascii="Arial Narrow" w:hAnsi="Arial Narrow" w:cs="Calibri"/>
          <w:sz w:val="24"/>
          <w:szCs w:val="24"/>
          <w:shd w:val="clear" w:color="auto" w:fill="FFFFFF"/>
        </w:rPr>
        <w:t>para la vigencia fiscal 2020</w:t>
      </w:r>
      <w:r w:rsidRPr="008339A1">
        <w:rPr>
          <w:rFonts w:ascii="Arial Narrow" w:hAnsi="Arial Narrow" w:cs="Calibri"/>
          <w:sz w:val="24"/>
          <w:szCs w:val="24"/>
          <w:shd w:val="clear" w:color="auto" w:fill="FFFFFF"/>
        </w:rPr>
        <w:t xml:space="preserve">, que le hubiese correspondido pagar al supervisado de acuerdo con los ingresos efectivamente percibidos </w:t>
      </w:r>
      <w:r w:rsidR="008339A1" w:rsidRPr="008339A1">
        <w:rPr>
          <w:rFonts w:ascii="Arial Narrow" w:hAnsi="Arial Narrow" w:cs="Calibri"/>
          <w:sz w:val="24"/>
          <w:szCs w:val="24"/>
          <w:shd w:val="clear" w:color="auto" w:fill="FFFFFF"/>
        </w:rPr>
        <w:t>y reportados de la vigencia 2019</w:t>
      </w:r>
      <w:r w:rsidRPr="008339A1">
        <w:rPr>
          <w:rFonts w:ascii="Arial Narrow" w:hAnsi="Arial Narrow" w:cs="Calibri"/>
          <w:sz w:val="24"/>
          <w:szCs w:val="24"/>
          <w:shd w:val="clear" w:color="auto" w:fill="FFFFFF"/>
        </w:rPr>
        <w:t>,</w:t>
      </w:r>
      <w:r w:rsidR="008D73EC">
        <w:rPr>
          <w:rFonts w:ascii="Arial Narrow" w:hAnsi="Arial Narrow" w:cs="Calibri"/>
          <w:sz w:val="24"/>
          <w:szCs w:val="24"/>
          <w:shd w:val="clear" w:color="auto" w:fill="FFFFFF"/>
        </w:rPr>
        <w:t xml:space="preserve"> </w:t>
      </w:r>
      <w:r w:rsidR="008D73EC" w:rsidRPr="008339A1">
        <w:rPr>
          <w:rFonts w:ascii="Arial Narrow" w:hAnsi="Arial Narrow" w:cs="Calibri"/>
          <w:sz w:val="24"/>
          <w:szCs w:val="24"/>
          <w:shd w:val="clear" w:color="auto" w:fill="FFFFFF"/>
        </w:rPr>
        <w:t>y el mismo no solicita la devolución del mayor valor pagado dentro del mes calendario siguiente a la fecha de ajuste al reporte de ingresos por el sujeto supervisado</w:t>
      </w:r>
      <w:r w:rsidR="008D73EC">
        <w:rPr>
          <w:rFonts w:ascii="Arial Narrow" w:hAnsi="Arial Narrow" w:cs="Calibri"/>
          <w:sz w:val="24"/>
          <w:szCs w:val="24"/>
          <w:shd w:val="clear" w:color="auto" w:fill="FFFFFF"/>
        </w:rPr>
        <w:t xml:space="preserve">, </w:t>
      </w:r>
      <w:r w:rsidRPr="008339A1">
        <w:rPr>
          <w:rFonts w:ascii="Arial Narrow" w:hAnsi="Arial Narrow" w:cs="Calibri"/>
          <w:sz w:val="24"/>
          <w:szCs w:val="24"/>
          <w:shd w:val="clear" w:color="auto" w:fill="FFFFFF"/>
        </w:rPr>
        <w:t>la Dirección Financiera de la Superintendencia de Transporte, ordenará que el mayor valor pagado se abone a la primera cuota de la contribución especial que deba pagar e</w:t>
      </w:r>
      <w:r w:rsidR="008339A1" w:rsidRPr="008339A1">
        <w:rPr>
          <w:rFonts w:ascii="Arial Narrow" w:hAnsi="Arial Narrow" w:cs="Calibri"/>
          <w:sz w:val="24"/>
          <w:szCs w:val="24"/>
          <w:shd w:val="clear" w:color="auto" w:fill="FFFFFF"/>
        </w:rPr>
        <w:t>l vigilado para la vigencia 2021</w:t>
      </w:r>
      <w:r w:rsidRPr="008339A1">
        <w:rPr>
          <w:rFonts w:ascii="Arial Narrow" w:hAnsi="Arial Narrow" w:cs="Calibri"/>
          <w:sz w:val="24"/>
          <w:szCs w:val="24"/>
          <w:shd w:val="clear" w:color="auto" w:fill="FFFFFF"/>
        </w:rPr>
        <w:t>.</w:t>
      </w:r>
    </w:p>
    <w:p w14:paraId="30579332" w14:textId="77777777" w:rsidR="00437409" w:rsidRPr="008339A1" w:rsidRDefault="00437409" w:rsidP="00437409">
      <w:pPr>
        <w:ind w:right="50"/>
        <w:rPr>
          <w:rFonts w:ascii="Arial Narrow" w:hAnsi="Arial Narrow" w:cs="Calibri"/>
          <w:sz w:val="24"/>
          <w:szCs w:val="24"/>
          <w:shd w:val="clear" w:color="auto" w:fill="FFFFFF"/>
        </w:rPr>
      </w:pPr>
    </w:p>
    <w:p w14:paraId="2AB6A23B" w14:textId="17E13EAB"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Artículo Séptimo: Contribución Especial de Vigilancia para vigilados que hayan entrado en reorganización. </w:t>
      </w:r>
      <w:r w:rsidRPr="008339A1">
        <w:rPr>
          <w:rFonts w:ascii="Arial Narrow" w:hAnsi="Arial Narrow" w:cs="Calibri"/>
          <w:sz w:val="24"/>
          <w:szCs w:val="24"/>
          <w:shd w:val="clear" w:color="auto" w:fill="FFFFFF"/>
        </w:rPr>
        <w:t>Para el pago de la Contribución Especial de Vigilan</w:t>
      </w:r>
      <w:r w:rsidR="008339A1" w:rsidRPr="008339A1">
        <w:rPr>
          <w:rFonts w:ascii="Arial Narrow" w:hAnsi="Arial Narrow" w:cs="Calibri"/>
          <w:sz w:val="24"/>
          <w:szCs w:val="24"/>
          <w:shd w:val="clear" w:color="auto" w:fill="FFFFFF"/>
        </w:rPr>
        <w:t>cia para la vigencia fiscal 2020</w:t>
      </w:r>
      <w:r w:rsidRPr="008339A1">
        <w:rPr>
          <w:rFonts w:ascii="Arial Narrow" w:hAnsi="Arial Narrow" w:cs="Calibri"/>
          <w:sz w:val="24"/>
          <w:szCs w:val="24"/>
          <w:shd w:val="clear" w:color="auto" w:fill="FFFFFF"/>
        </w:rPr>
        <w:t xml:space="preserve"> de los vigilados que hayan sido admitidos al proceso de reorganización empresarial</w:t>
      </w:r>
      <w:r w:rsidRPr="008339A1">
        <w:rPr>
          <w:rFonts w:ascii="Arial Narrow" w:hAnsi="Arial Narrow" w:cs="Calibri"/>
          <w:b/>
          <w:sz w:val="24"/>
          <w:szCs w:val="24"/>
          <w:shd w:val="clear" w:color="auto" w:fill="FFFFFF"/>
        </w:rPr>
        <w:t xml:space="preserve"> </w:t>
      </w:r>
      <w:r w:rsidRPr="008339A1">
        <w:rPr>
          <w:rFonts w:ascii="Arial Narrow" w:hAnsi="Arial Narrow" w:cs="Calibri"/>
          <w:sz w:val="24"/>
          <w:szCs w:val="24"/>
          <w:shd w:val="clear" w:color="auto" w:fill="FFFFFF"/>
        </w:rPr>
        <w:t xml:space="preserve">y tengan deudas con la Superintendencia de Transporte, por obligaciones causadas con anterioridad al inicio del proceso de reorganización, deberán liquidar la Contribución Especial de Vigilancia </w:t>
      </w:r>
      <w:r w:rsidR="008D73EC">
        <w:rPr>
          <w:rFonts w:ascii="Arial Narrow" w:hAnsi="Arial Narrow" w:cs="Calibri"/>
          <w:sz w:val="24"/>
          <w:szCs w:val="24"/>
          <w:shd w:val="clear" w:color="auto" w:fill="FFFFFF"/>
        </w:rPr>
        <w:t xml:space="preserve">de la vigencia 2020 </w:t>
      </w:r>
      <w:r w:rsidRPr="008339A1">
        <w:rPr>
          <w:rFonts w:ascii="Arial Narrow" w:hAnsi="Arial Narrow" w:cs="Calibri"/>
          <w:sz w:val="24"/>
          <w:szCs w:val="24"/>
          <w:shd w:val="clear" w:color="auto" w:fill="FFFFFF"/>
        </w:rPr>
        <w:t xml:space="preserve">conforme lo establece la presente Resolución, y realizar su pago en la forma establecida en el acuerdo suscrito con sus acreedores. </w:t>
      </w:r>
    </w:p>
    <w:p w14:paraId="3B7A8CB2" w14:textId="77777777" w:rsidR="00437409" w:rsidRPr="008339A1" w:rsidRDefault="00437409" w:rsidP="00437409">
      <w:pPr>
        <w:ind w:right="50"/>
        <w:jc w:val="both"/>
        <w:rPr>
          <w:rFonts w:ascii="Arial Narrow" w:hAnsi="Arial Narrow" w:cs="Calibri"/>
          <w:sz w:val="24"/>
          <w:szCs w:val="24"/>
          <w:shd w:val="clear" w:color="auto" w:fill="FFFFFF"/>
        </w:rPr>
      </w:pPr>
    </w:p>
    <w:p w14:paraId="67746BA4" w14:textId="77777777"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sz w:val="24"/>
          <w:szCs w:val="24"/>
          <w:shd w:val="clear" w:color="auto" w:fill="FFFFFF"/>
        </w:rPr>
        <w:t xml:space="preserve">Las obligaciones causadas con posterioridad al inicio del proceso de reorganización constituyen gastos de administración y deben ser cancelados en la medida en que se hagan exigibles. </w:t>
      </w:r>
    </w:p>
    <w:p w14:paraId="785270C1" w14:textId="77777777" w:rsidR="00437409" w:rsidRPr="008339A1" w:rsidRDefault="00437409" w:rsidP="00437409">
      <w:pPr>
        <w:ind w:right="50"/>
        <w:rPr>
          <w:rFonts w:ascii="Arial Narrow" w:hAnsi="Arial Narrow" w:cs="Calibri"/>
          <w:sz w:val="24"/>
          <w:szCs w:val="24"/>
          <w:shd w:val="clear" w:color="auto" w:fill="FFFFFF"/>
        </w:rPr>
      </w:pPr>
    </w:p>
    <w:p w14:paraId="0DBC97D3" w14:textId="77777777"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 xml:space="preserve">Artículo Octavo: Publicación. </w:t>
      </w:r>
      <w:r w:rsidRPr="008339A1">
        <w:rPr>
          <w:rFonts w:ascii="Arial Narrow" w:hAnsi="Arial Narrow" w:cs="Calibri"/>
          <w:sz w:val="24"/>
          <w:szCs w:val="24"/>
          <w:shd w:val="clear" w:color="auto" w:fill="FFFFFF"/>
        </w:rPr>
        <w:t xml:space="preserve">Publíquese </w:t>
      </w:r>
      <w:r w:rsidRPr="008339A1">
        <w:rPr>
          <w:rFonts w:ascii="Arial Narrow" w:hAnsi="Arial Narrow" w:cs="Arial"/>
          <w:sz w:val="24"/>
          <w:szCs w:val="24"/>
        </w:rPr>
        <w:t>la presente Resolución en el Diario Oficial y en la página web de la Superintendencia de Transporte.</w:t>
      </w:r>
    </w:p>
    <w:p w14:paraId="171928EF" w14:textId="77777777" w:rsidR="00437409" w:rsidRPr="008339A1" w:rsidRDefault="00437409" w:rsidP="00437409">
      <w:pPr>
        <w:ind w:right="50"/>
        <w:jc w:val="both"/>
        <w:rPr>
          <w:rFonts w:ascii="Arial Narrow" w:hAnsi="Arial Narrow" w:cs="Calibri"/>
          <w:b/>
          <w:sz w:val="24"/>
          <w:szCs w:val="24"/>
          <w:shd w:val="clear" w:color="auto" w:fill="FFFFFF"/>
        </w:rPr>
      </w:pPr>
    </w:p>
    <w:p w14:paraId="3B4423E7" w14:textId="77777777" w:rsidR="00437409" w:rsidRPr="008339A1" w:rsidRDefault="00437409" w:rsidP="00437409">
      <w:pPr>
        <w:ind w:right="50"/>
        <w:jc w:val="both"/>
        <w:rPr>
          <w:rFonts w:ascii="Arial Narrow" w:hAnsi="Arial Narrow" w:cs="Calibri"/>
          <w:sz w:val="24"/>
          <w:szCs w:val="24"/>
          <w:shd w:val="clear" w:color="auto" w:fill="FFFFFF"/>
        </w:rPr>
      </w:pPr>
      <w:r w:rsidRPr="008339A1">
        <w:rPr>
          <w:rFonts w:ascii="Arial Narrow" w:hAnsi="Arial Narrow" w:cs="Calibri"/>
          <w:b/>
          <w:sz w:val="24"/>
          <w:szCs w:val="24"/>
          <w:shd w:val="clear" w:color="auto" w:fill="FFFFFF"/>
        </w:rPr>
        <w:t>Artículo Noveno: Vigencia.</w:t>
      </w:r>
      <w:r w:rsidRPr="008339A1">
        <w:rPr>
          <w:rFonts w:ascii="Arial Narrow" w:hAnsi="Arial Narrow" w:cs="Calibri"/>
          <w:sz w:val="24"/>
          <w:szCs w:val="24"/>
          <w:shd w:val="clear" w:color="auto" w:fill="FFFFFF"/>
        </w:rPr>
        <w:t xml:space="preserve"> La presente Resolución rige a partir de la fecha de su publicación en el Diario Oficial.</w:t>
      </w:r>
    </w:p>
    <w:p w14:paraId="40222EE8" w14:textId="77777777" w:rsidR="00437409" w:rsidRDefault="00437409" w:rsidP="00437409">
      <w:pPr>
        <w:ind w:right="50"/>
        <w:rPr>
          <w:rFonts w:ascii="Arial Narrow" w:hAnsi="Arial Narrow" w:cs="Calibri"/>
          <w:sz w:val="24"/>
          <w:szCs w:val="24"/>
          <w:shd w:val="clear" w:color="auto" w:fill="FFFFFF"/>
        </w:rPr>
      </w:pPr>
    </w:p>
    <w:p w14:paraId="7A6E59E3" w14:textId="77777777" w:rsidR="008A2009" w:rsidRPr="008339A1" w:rsidRDefault="008A2009" w:rsidP="00437409">
      <w:pPr>
        <w:ind w:right="50"/>
        <w:rPr>
          <w:rFonts w:ascii="Arial Narrow" w:hAnsi="Arial Narrow" w:cs="Calibri"/>
          <w:sz w:val="24"/>
          <w:szCs w:val="24"/>
          <w:shd w:val="clear" w:color="auto" w:fill="FFFFFF"/>
        </w:rPr>
      </w:pPr>
    </w:p>
    <w:p w14:paraId="767B50F9" w14:textId="77777777" w:rsidR="00437409" w:rsidRPr="008339A1" w:rsidRDefault="00437409" w:rsidP="00437409">
      <w:pPr>
        <w:ind w:right="50"/>
        <w:jc w:val="center"/>
        <w:rPr>
          <w:rFonts w:ascii="Arial Narrow" w:hAnsi="Arial Narrow" w:cs="Calibri"/>
          <w:b/>
          <w:sz w:val="24"/>
          <w:szCs w:val="24"/>
          <w:shd w:val="clear" w:color="auto" w:fill="FFFFFF"/>
        </w:rPr>
      </w:pPr>
      <w:r w:rsidRPr="008339A1">
        <w:rPr>
          <w:rFonts w:ascii="Arial Narrow" w:hAnsi="Arial Narrow" w:cs="Calibri"/>
          <w:b/>
          <w:sz w:val="24"/>
          <w:szCs w:val="24"/>
          <w:shd w:val="clear" w:color="auto" w:fill="FFFFFF"/>
        </w:rPr>
        <w:t>PUBLÍQUESE Y CÚMPLASE</w:t>
      </w:r>
    </w:p>
    <w:p w14:paraId="73DE55DE" w14:textId="77777777" w:rsidR="00437409" w:rsidRPr="00205B9B" w:rsidRDefault="00437409" w:rsidP="00205B9B">
      <w:pPr>
        <w:ind w:right="50"/>
        <w:jc w:val="center"/>
        <w:rPr>
          <w:rFonts w:ascii="Arial Narrow" w:hAnsi="Arial Narrow" w:cs="Calibri"/>
          <w:b/>
          <w:sz w:val="24"/>
          <w:szCs w:val="24"/>
          <w:shd w:val="clear" w:color="auto" w:fill="FFFFFF"/>
        </w:rPr>
      </w:pPr>
      <w:r w:rsidRPr="008339A1">
        <w:rPr>
          <w:rFonts w:ascii="Arial Narrow" w:hAnsi="Arial Narrow" w:cs="Calibri"/>
          <w:sz w:val="24"/>
          <w:szCs w:val="24"/>
          <w:shd w:val="clear" w:color="auto" w:fill="FFFFFF"/>
        </w:rPr>
        <w:t>Dada en Bogotá D.C., a los</w:t>
      </w:r>
    </w:p>
    <w:p w14:paraId="339117C4" w14:textId="77777777" w:rsidR="008A2009" w:rsidRDefault="008A2009" w:rsidP="00437409">
      <w:pPr>
        <w:ind w:right="50"/>
        <w:rPr>
          <w:rFonts w:ascii="Arial Narrow" w:hAnsi="Arial Narrow" w:cs="Calibri"/>
          <w:b/>
          <w:sz w:val="24"/>
          <w:szCs w:val="24"/>
          <w:shd w:val="clear" w:color="auto" w:fill="FFFFFF"/>
          <w:lang w:val="es-ES"/>
        </w:rPr>
      </w:pPr>
    </w:p>
    <w:p w14:paraId="60498641" w14:textId="77777777" w:rsidR="00205B9B" w:rsidRDefault="00205B9B" w:rsidP="00437409">
      <w:pPr>
        <w:ind w:right="50"/>
        <w:rPr>
          <w:rFonts w:ascii="Arial Narrow" w:hAnsi="Arial Narrow" w:cs="Calibri"/>
          <w:b/>
          <w:sz w:val="24"/>
          <w:szCs w:val="24"/>
          <w:shd w:val="clear" w:color="auto" w:fill="FFFFFF"/>
          <w:lang w:val="es-ES"/>
        </w:rPr>
      </w:pPr>
    </w:p>
    <w:p w14:paraId="7FB05376" w14:textId="77777777" w:rsidR="00F357AC" w:rsidRPr="008339A1" w:rsidRDefault="00F357AC" w:rsidP="00437409">
      <w:pPr>
        <w:ind w:right="50"/>
        <w:rPr>
          <w:rFonts w:ascii="Arial Narrow" w:hAnsi="Arial Narrow" w:cs="Calibri"/>
          <w:b/>
          <w:sz w:val="24"/>
          <w:szCs w:val="24"/>
          <w:shd w:val="clear" w:color="auto" w:fill="FFFFFF"/>
          <w:lang w:val="es-ES"/>
        </w:rPr>
      </w:pPr>
    </w:p>
    <w:p w14:paraId="2A7ECCA1" w14:textId="77777777" w:rsidR="00437409" w:rsidRPr="008339A1" w:rsidRDefault="008A2009" w:rsidP="00437409">
      <w:pPr>
        <w:ind w:right="50"/>
        <w:rPr>
          <w:rFonts w:ascii="Arial Narrow" w:hAnsi="Arial Narrow" w:cs="Calibri"/>
          <w:sz w:val="24"/>
          <w:szCs w:val="24"/>
          <w:shd w:val="clear" w:color="auto" w:fill="FFFFFF"/>
          <w:lang w:val="es-ES"/>
        </w:rPr>
      </w:pPr>
      <w:r>
        <w:rPr>
          <w:rFonts w:ascii="Arial Narrow" w:hAnsi="Arial Narrow" w:cs="Calibri"/>
          <w:sz w:val="24"/>
          <w:szCs w:val="24"/>
          <w:shd w:val="clear" w:color="auto" w:fill="FFFFFF"/>
          <w:lang w:val="es-ES"/>
        </w:rPr>
        <w:t xml:space="preserve">El </w:t>
      </w:r>
      <w:r w:rsidR="00437409" w:rsidRPr="008339A1">
        <w:rPr>
          <w:rFonts w:ascii="Arial Narrow" w:hAnsi="Arial Narrow" w:cs="Calibri"/>
          <w:sz w:val="24"/>
          <w:szCs w:val="24"/>
          <w:shd w:val="clear" w:color="auto" w:fill="FFFFFF"/>
          <w:lang w:val="es-ES"/>
        </w:rPr>
        <w:t>Superintendente de Transporte,</w:t>
      </w:r>
    </w:p>
    <w:p w14:paraId="223EACA8" w14:textId="77777777" w:rsidR="00437409" w:rsidRPr="008339A1" w:rsidRDefault="00437409" w:rsidP="00437409">
      <w:pPr>
        <w:ind w:right="50"/>
        <w:rPr>
          <w:rFonts w:ascii="Arial Narrow" w:hAnsi="Arial Narrow" w:cs="Calibri"/>
          <w:b/>
          <w:sz w:val="24"/>
          <w:szCs w:val="24"/>
          <w:shd w:val="clear" w:color="auto" w:fill="FFFFFF"/>
          <w:lang w:val="es-ES"/>
        </w:rPr>
      </w:pPr>
    </w:p>
    <w:p w14:paraId="59726A4B" w14:textId="77777777" w:rsidR="00437409" w:rsidRPr="008339A1" w:rsidRDefault="00437409" w:rsidP="00437409">
      <w:pPr>
        <w:ind w:right="50"/>
        <w:rPr>
          <w:rFonts w:ascii="Arial Narrow" w:hAnsi="Arial Narrow" w:cs="Calibri"/>
          <w:b/>
          <w:sz w:val="24"/>
          <w:szCs w:val="24"/>
          <w:shd w:val="clear" w:color="auto" w:fill="FFFFFF"/>
          <w:lang w:val="es-ES"/>
        </w:rPr>
      </w:pPr>
    </w:p>
    <w:p w14:paraId="385FD314" w14:textId="77777777" w:rsidR="00713D61" w:rsidRDefault="00713D61" w:rsidP="00893CE0">
      <w:pPr>
        <w:ind w:left="6372" w:right="50" w:firstLine="708"/>
        <w:rPr>
          <w:rFonts w:ascii="Arial Narrow" w:hAnsi="Arial Narrow" w:cs="Calibri"/>
          <w:b/>
          <w:sz w:val="24"/>
          <w:szCs w:val="24"/>
          <w:shd w:val="clear" w:color="auto" w:fill="FFFFFF"/>
          <w:lang w:val="es-ES"/>
        </w:rPr>
      </w:pPr>
    </w:p>
    <w:p w14:paraId="1564A11B" w14:textId="300B30E7" w:rsidR="00437409" w:rsidRPr="00205B9B" w:rsidRDefault="008A2009" w:rsidP="00893CE0">
      <w:pPr>
        <w:ind w:left="6372" w:right="50" w:firstLine="708"/>
        <w:rPr>
          <w:rFonts w:ascii="Arial Narrow" w:hAnsi="Arial Narrow" w:cs="Calibri"/>
          <w:b/>
          <w:sz w:val="24"/>
          <w:szCs w:val="24"/>
          <w:shd w:val="clear" w:color="auto" w:fill="FFFFFF"/>
          <w:lang w:val="es-ES"/>
        </w:rPr>
      </w:pPr>
      <w:r>
        <w:rPr>
          <w:rFonts w:ascii="Arial Narrow" w:hAnsi="Arial Narrow" w:cs="Calibri"/>
          <w:b/>
          <w:sz w:val="24"/>
          <w:szCs w:val="24"/>
          <w:shd w:val="clear" w:color="auto" w:fill="FFFFFF"/>
          <w:lang w:val="es-ES"/>
        </w:rPr>
        <w:t>Camilo Pabón Almanza</w:t>
      </w:r>
    </w:p>
    <w:p w14:paraId="23AE3F73" w14:textId="77777777" w:rsidR="00F357AC" w:rsidRDefault="00F357AC" w:rsidP="00437409">
      <w:pPr>
        <w:ind w:right="50"/>
        <w:rPr>
          <w:rFonts w:ascii="Arial Narrow" w:hAnsi="Arial Narrow" w:cs="Calibri"/>
          <w:sz w:val="24"/>
          <w:szCs w:val="24"/>
          <w:shd w:val="clear" w:color="auto" w:fill="FFFFFF"/>
          <w:lang w:val="es-ES"/>
        </w:rPr>
      </w:pPr>
    </w:p>
    <w:p w14:paraId="5CF72516" w14:textId="77777777" w:rsidR="00974AFC" w:rsidRPr="008339A1" w:rsidRDefault="00974AFC" w:rsidP="00437409">
      <w:pPr>
        <w:ind w:right="50"/>
        <w:rPr>
          <w:rFonts w:ascii="Arial Narrow" w:hAnsi="Arial Narrow" w:cs="Calibri"/>
          <w:sz w:val="24"/>
          <w:szCs w:val="24"/>
          <w:shd w:val="clear" w:color="auto" w:fill="FFFFFF"/>
          <w:lang w:val="es-ES"/>
        </w:rPr>
      </w:pPr>
    </w:p>
    <w:p w14:paraId="6EC4EEB9" w14:textId="77777777" w:rsidR="00437409" w:rsidRPr="008339A1" w:rsidRDefault="00437409" w:rsidP="00437409">
      <w:pPr>
        <w:ind w:right="50"/>
        <w:rPr>
          <w:rFonts w:ascii="Arial Narrow" w:hAnsi="Arial Narrow" w:cs="Calibri"/>
          <w:i/>
          <w:sz w:val="18"/>
          <w:szCs w:val="18"/>
          <w:shd w:val="clear" w:color="auto" w:fill="FFFFFF"/>
          <w:lang w:val="es-ES"/>
        </w:rPr>
      </w:pPr>
      <w:r w:rsidRPr="008339A1">
        <w:rPr>
          <w:rFonts w:ascii="Arial Narrow" w:hAnsi="Arial Narrow" w:cs="Calibri"/>
          <w:i/>
          <w:sz w:val="18"/>
          <w:szCs w:val="18"/>
          <w:shd w:val="clear" w:color="auto" w:fill="FFFFFF"/>
          <w:lang w:val="es-ES"/>
        </w:rPr>
        <w:t>Proyectó:    Daniela María Mendoza Sierra –  Abogada Contratista Dirección Financiera</w:t>
      </w:r>
    </w:p>
    <w:p w14:paraId="14072825" w14:textId="77777777" w:rsidR="00437409" w:rsidRPr="008339A1" w:rsidRDefault="00437409" w:rsidP="00437409">
      <w:pPr>
        <w:ind w:right="50"/>
        <w:rPr>
          <w:rFonts w:ascii="Arial Narrow" w:hAnsi="Arial Narrow" w:cs="Calibri"/>
          <w:i/>
          <w:sz w:val="18"/>
          <w:szCs w:val="18"/>
          <w:shd w:val="clear" w:color="auto" w:fill="FFFFFF"/>
          <w:lang w:val="es-ES"/>
        </w:rPr>
      </w:pPr>
    </w:p>
    <w:p w14:paraId="719BCD82" w14:textId="77777777" w:rsidR="00437409" w:rsidRPr="008339A1" w:rsidRDefault="00437409" w:rsidP="00437409">
      <w:pPr>
        <w:ind w:right="50"/>
        <w:rPr>
          <w:rFonts w:ascii="Arial Narrow" w:hAnsi="Arial Narrow" w:cs="Calibri"/>
          <w:i/>
          <w:sz w:val="18"/>
          <w:szCs w:val="18"/>
          <w:shd w:val="clear" w:color="auto" w:fill="FFFFFF"/>
          <w:lang w:val="es-ES"/>
        </w:rPr>
      </w:pPr>
      <w:r w:rsidRPr="008339A1">
        <w:rPr>
          <w:rFonts w:ascii="Arial Narrow" w:hAnsi="Arial Narrow" w:cs="Calibri"/>
          <w:i/>
          <w:sz w:val="18"/>
          <w:szCs w:val="18"/>
          <w:shd w:val="clear" w:color="auto" w:fill="FFFFFF"/>
          <w:lang w:val="es-ES"/>
        </w:rPr>
        <w:t xml:space="preserve">Revisó: </w:t>
      </w:r>
      <w:r w:rsidRPr="008339A1">
        <w:rPr>
          <w:rFonts w:ascii="Arial Narrow" w:hAnsi="Arial Narrow" w:cs="Calibri"/>
          <w:i/>
          <w:sz w:val="18"/>
          <w:szCs w:val="18"/>
          <w:shd w:val="clear" w:color="auto" w:fill="FFFFFF"/>
          <w:lang w:val="es-ES"/>
        </w:rPr>
        <w:tab/>
        <w:t>Jaime Alberto Rodríguez Marín- Director Financiero</w:t>
      </w:r>
    </w:p>
    <w:p w14:paraId="0127EBAB" w14:textId="77777777" w:rsidR="00437409" w:rsidRPr="008D73EC" w:rsidRDefault="00437409" w:rsidP="00437409">
      <w:pPr>
        <w:ind w:right="50" w:firstLine="708"/>
        <w:rPr>
          <w:rFonts w:ascii="Arial Narrow" w:hAnsi="Arial Narrow" w:cs="Calibri"/>
          <w:i/>
          <w:sz w:val="18"/>
          <w:szCs w:val="18"/>
          <w:shd w:val="clear" w:color="auto" w:fill="FFFFFF"/>
          <w:lang w:val="es-ES"/>
        </w:rPr>
      </w:pPr>
      <w:r w:rsidRPr="008D73EC">
        <w:rPr>
          <w:rFonts w:ascii="Arial Narrow" w:hAnsi="Arial Narrow" w:cs="Calibri"/>
          <w:i/>
          <w:sz w:val="18"/>
          <w:szCs w:val="18"/>
          <w:shd w:val="clear" w:color="auto" w:fill="FFFFFF"/>
          <w:lang w:val="es-ES"/>
        </w:rPr>
        <w:t>Diana Paola Suárez Méndez - Coordinadora Grupo de Análisis y Gestión de Recaudo</w:t>
      </w:r>
    </w:p>
    <w:p w14:paraId="0C412959" w14:textId="22F272B4" w:rsidR="00437409" w:rsidRPr="008D73EC" w:rsidRDefault="00056F61" w:rsidP="00437409">
      <w:pPr>
        <w:ind w:right="50" w:firstLine="708"/>
        <w:rPr>
          <w:rFonts w:ascii="Arial Narrow" w:hAnsi="Arial Narrow" w:cs="Calibri"/>
          <w:i/>
          <w:sz w:val="18"/>
          <w:szCs w:val="18"/>
          <w:shd w:val="clear" w:color="auto" w:fill="FFFFFF"/>
          <w:lang w:val="es-CO"/>
        </w:rPr>
      </w:pPr>
      <w:r>
        <w:rPr>
          <w:rFonts w:ascii="Arial Narrow" w:hAnsi="Arial Narrow" w:cs="Calibri"/>
          <w:i/>
          <w:sz w:val="18"/>
          <w:szCs w:val="18"/>
          <w:shd w:val="clear" w:color="auto" w:fill="FFFFFF"/>
          <w:lang w:val="es-ES"/>
        </w:rPr>
        <w:t>Jennifer Su</w:t>
      </w:r>
      <w:r w:rsidR="001F72D1">
        <w:rPr>
          <w:rFonts w:ascii="Arial Narrow" w:hAnsi="Arial Narrow" w:cs="Calibri"/>
          <w:i/>
          <w:sz w:val="18"/>
          <w:szCs w:val="18"/>
          <w:shd w:val="clear" w:color="auto" w:fill="FFFFFF"/>
          <w:lang w:val="es-ES"/>
        </w:rPr>
        <w:t>aza Sáenz- Abogada Secretaria General</w:t>
      </w:r>
    </w:p>
    <w:p w14:paraId="247ED4B0" w14:textId="77777777" w:rsidR="00437409" w:rsidRPr="008D73EC" w:rsidRDefault="00437409" w:rsidP="00437409">
      <w:pPr>
        <w:ind w:right="50" w:firstLine="708"/>
        <w:rPr>
          <w:rFonts w:ascii="Arial Narrow" w:hAnsi="Arial Narrow" w:cs="Calibri"/>
          <w:i/>
          <w:sz w:val="18"/>
          <w:szCs w:val="18"/>
          <w:shd w:val="clear" w:color="auto" w:fill="FFFFFF"/>
          <w:lang w:val="es-CO"/>
        </w:rPr>
      </w:pPr>
    </w:p>
    <w:p w14:paraId="30B239F5" w14:textId="77777777" w:rsidR="00437409" w:rsidRPr="008D73EC" w:rsidRDefault="00437409" w:rsidP="00437409">
      <w:pPr>
        <w:ind w:right="50"/>
        <w:rPr>
          <w:rFonts w:ascii="Arial Narrow" w:hAnsi="Arial Narrow" w:cs="Calibri"/>
          <w:i/>
          <w:sz w:val="18"/>
          <w:szCs w:val="18"/>
          <w:shd w:val="clear" w:color="auto" w:fill="FFFFFF"/>
          <w:lang w:val="es-CO"/>
        </w:rPr>
      </w:pPr>
      <w:r w:rsidRPr="008D73EC">
        <w:rPr>
          <w:rFonts w:ascii="Arial Narrow" w:hAnsi="Arial Narrow" w:cs="Calibri"/>
          <w:i/>
          <w:sz w:val="18"/>
          <w:szCs w:val="18"/>
          <w:shd w:val="clear" w:color="auto" w:fill="FFFFFF"/>
          <w:lang w:val="es-ES"/>
        </w:rPr>
        <w:t xml:space="preserve">Aprobó: </w:t>
      </w:r>
      <w:r w:rsidRPr="008D73EC">
        <w:rPr>
          <w:rFonts w:ascii="Arial Narrow" w:hAnsi="Arial Narrow" w:cs="Calibri"/>
          <w:i/>
          <w:sz w:val="18"/>
          <w:szCs w:val="18"/>
          <w:shd w:val="clear" w:color="auto" w:fill="FFFFFF"/>
          <w:lang w:val="es-ES"/>
        </w:rPr>
        <w:tab/>
      </w:r>
      <w:r w:rsidRPr="008D73EC">
        <w:rPr>
          <w:rFonts w:ascii="Arial Narrow" w:hAnsi="Arial Narrow" w:cs="Calibri"/>
          <w:i/>
          <w:sz w:val="18"/>
          <w:szCs w:val="18"/>
          <w:shd w:val="clear" w:color="auto" w:fill="FFFFFF"/>
          <w:lang w:val="es-CO"/>
        </w:rPr>
        <w:t xml:space="preserve">María </w:t>
      </w:r>
      <w:proofErr w:type="spellStart"/>
      <w:r w:rsidRPr="008D73EC">
        <w:rPr>
          <w:rFonts w:ascii="Arial Narrow" w:hAnsi="Arial Narrow" w:cs="Calibri"/>
          <w:i/>
          <w:sz w:val="18"/>
          <w:szCs w:val="18"/>
          <w:shd w:val="clear" w:color="auto" w:fill="FFFFFF"/>
          <w:lang w:val="es-CO"/>
        </w:rPr>
        <w:t>Pierina</w:t>
      </w:r>
      <w:proofErr w:type="spellEnd"/>
      <w:r w:rsidRPr="008D73EC">
        <w:rPr>
          <w:rFonts w:ascii="Arial Narrow" w:hAnsi="Arial Narrow" w:cs="Calibri"/>
          <w:i/>
          <w:sz w:val="18"/>
          <w:szCs w:val="18"/>
          <w:shd w:val="clear" w:color="auto" w:fill="FFFFFF"/>
          <w:lang w:val="es-CO"/>
        </w:rPr>
        <w:t xml:space="preserve"> González Falla –</w:t>
      </w:r>
      <w:r w:rsidRPr="008D73EC">
        <w:rPr>
          <w:rFonts w:ascii="Arial Narrow" w:hAnsi="Arial Narrow" w:cs="Calibri"/>
          <w:i/>
          <w:sz w:val="18"/>
          <w:szCs w:val="18"/>
          <w:shd w:val="clear" w:color="auto" w:fill="FFFFFF"/>
          <w:lang w:val="es-ES"/>
        </w:rPr>
        <w:t xml:space="preserve"> Secretaria General </w:t>
      </w:r>
    </w:p>
    <w:p w14:paraId="40663390" w14:textId="77777777" w:rsidR="00437409" w:rsidRPr="000F6E2A" w:rsidRDefault="00437409" w:rsidP="00437409">
      <w:pPr>
        <w:ind w:right="50"/>
        <w:rPr>
          <w:rFonts w:ascii="Arial Narrow" w:hAnsi="Arial Narrow" w:cs="Calibri"/>
          <w:i/>
          <w:sz w:val="18"/>
          <w:szCs w:val="18"/>
          <w:shd w:val="clear" w:color="auto" w:fill="FFFFFF"/>
          <w:lang w:val="es-CO"/>
        </w:rPr>
      </w:pPr>
      <w:r w:rsidRPr="008D73EC">
        <w:rPr>
          <w:rFonts w:ascii="Arial Narrow" w:hAnsi="Arial Narrow" w:cs="Calibri"/>
          <w:i/>
          <w:sz w:val="18"/>
          <w:szCs w:val="18"/>
          <w:shd w:val="clear" w:color="auto" w:fill="FFFFFF"/>
          <w:lang w:val="es-ES"/>
        </w:rPr>
        <w:tab/>
      </w:r>
      <w:r w:rsidR="00A23609" w:rsidRPr="008D73EC">
        <w:rPr>
          <w:rFonts w:ascii="Arial Narrow" w:hAnsi="Arial Narrow" w:cs="Calibri"/>
          <w:i/>
          <w:sz w:val="18"/>
          <w:szCs w:val="18"/>
          <w:shd w:val="clear" w:color="auto" w:fill="FFFFFF"/>
          <w:lang w:val="es-ES"/>
        </w:rPr>
        <w:t>María Fernanda Serna Quiroga</w:t>
      </w:r>
      <w:r w:rsidRPr="008D73EC">
        <w:rPr>
          <w:rFonts w:ascii="Arial Narrow" w:hAnsi="Arial Narrow" w:cs="Calibri"/>
          <w:i/>
          <w:sz w:val="18"/>
          <w:szCs w:val="18"/>
          <w:shd w:val="clear" w:color="auto" w:fill="FFFFFF"/>
          <w:lang w:val="es-CO"/>
        </w:rPr>
        <w:t>–</w:t>
      </w:r>
      <w:r w:rsidRPr="008D73EC">
        <w:rPr>
          <w:rFonts w:ascii="Arial Narrow" w:hAnsi="Arial Narrow" w:cs="Calibri"/>
          <w:i/>
          <w:sz w:val="18"/>
          <w:szCs w:val="18"/>
          <w:shd w:val="clear" w:color="auto" w:fill="FFFFFF"/>
          <w:lang w:val="es-ES"/>
        </w:rPr>
        <w:t xml:space="preserve"> Jefe Oficina Asesora Jurídica</w:t>
      </w:r>
    </w:p>
    <w:p w14:paraId="2BD4E0B3" w14:textId="77777777" w:rsidR="0098024E" w:rsidRDefault="0098024E"/>
    <w:sectPr w:rsidR="0098024E" w:rsidSect="00F357AC">
      <w:headerReference w:type="default" r:id="rId8"/>
      <w:headerReference w:type="first" r:id="rId9"/>
      <w:pgSz w:w="12242" w:h="18722" w:code="14"/>
      <w:pgMar w:top="2127" w:right="1418" w:bottom="1134"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573C" w14:textId="77777777" w:rsidR="00DB4604" w:rsidRDefault="00DB4604" w:rsidP="00C94895">
      <w:r>
        <w:separator/>
      </w:r>
    </w:p>
  </w:endnote>
  <w:endnote w:type="continuationSeparator" w:id="0">
    <w:p w14:paraId="048D734C" w14:textId="77777777" w:rsidR="00DB4604" w:rsidRDefault="00DB4604" w:rsidP="00C9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23DE3" w14:textId="77777777" w:rsidR="00DB4604" w:rsidRDefault="00DB4604" w:rsidP="00C94895">
      <w:r>
        <w:separator/>
      </w:r>
    </w:p>
  </w:footnote>
  <w:footnote w:type="continuationSeparator" w:id="0">
    <w:p w14:paraId="78C58859" w14:textId="77777777" w:rsidR="00DB4604" w:rsidRDefault="00DB4604" w:rsidP="00C94895">
      <w:r>
        <w:continuationSeparator/>
      </w:r>
    </w:p>
  </w:footnote>
  <w:footnote w:id="1">
    <w:p w14:paraId="4F2C2598" w14:textId="649ED3A3" w:rsidR="00D308D4" w:rsidRPr="00D308D4" w:rsidRDefault="00D308D4" w:rsidP="00D308D4">
      <w:pPr>
        <w:pStyle w:val="Textonotapie"/>
        <w:jc w:val="both"/>
        <w:rPr>
          <w:rFonts w:ascii="Arial Narrow" w:hAnsi="Arial Narrow"/>
          <w:sz w:val="18"/>
          <w:szCs w:val="18"/>
          <w:lang w:val="es-CO"/>
        </w:rPr>
      </w:pPr>
      <w:r w:rsidRPr="00D308D4">
        <w:rPr>
          <w:rStyle w:val="Refdenotaalpie"/>
          <w:rFonts w:ascii="Arial Narrow" w:hAnsi="Arial Narrow"/>
          <w:sz w:val="18"/>
          <w:szCs w:val="18"/>
        </w:rPr>
        <w:footnoteRef/>
      </w:r>
      <w:r w:rsidRPr="00D308D4">
        <w:rPr>
          <w:rFonts w:ascii="Arial Narrow" w:hAnsi="Arial Narrow"/>
          <w:sz w:val="18"/>
          <w:szCs w:val="18"/>
        </w:rPr>
        <w:t xml:space="preserve"> </w:t>
      </w:r>
      <w:r w:rsidRPr="00D308D4">
        <w:rPr>
          <w:rFonts w:ascii="Arial Narrow" w:hAnsi="Arial Narrow"/>
          <w:sz w:val="18"/>
          <w:szCs w:val="18"/>
          <w:lang w:val="es-CO"/>
        </w:rPr>
        <w:t xml:space="preserve">Que corresponde a la variación del PIB nominal </w:t>
      </w:r>
      <w:proofErr w:type="spellStart"/>
      <w:r w:rsidRPr="00D308D4">
        <w:rPr>
          <w:rFonts w:ascii="Arial Narrow" w:hAnsi="Arial Narrow"/>
          <w:sz w:val="18"/>
          <w:szCs w:val="18"/>
          <w:lang w:val="es-CO"/>
        </w:rPr>
        <w:t>desestacionalizado</w:t>
      </w:r>
      <w:proofErr w:type="spellEnd"/>
      <w:r w:rsidRPr="00D308D4">
        <w:rPr>
          <w:rFonts w:ascii="Arial Narrow" w:hAnsi="Arial Narrow"/>
          <w:sz w:val="18"/>
          <w:szCs w:val="18"/>
          <w:lang w:val="es-CO"/>
        </w:rPr>
        <w:t xml:space="preserve"> del último trimestre del año 2018 al último trimestre del año 2019 del sector transporte; información que fue extraída de la página web del</w:t>
      </w:r>
      <w:r w:rsidR="00BA2BD5">
        <w:rPr>
          <w:rFonts w:ascii="Arial Narrow" w:hAnsi="Arial Narrow"/>
          <w:sz w:val="18"/>
          <w:szCs w:val="18"/>
          <w:lang w:val="es-CO"/>
        </w:rPr>
        <w:t xml:space="preserve"> </w:t>
      </w:r>
      <w:r w:rsidR="00BA2BD5" w:rsidRPr="00BA2BD5">
        <w:rPr>
          <w:rFonts w:ascii="Arial Narrow" w:hAnsi="Arial Narrow"/>
          <w:sz w:val="18"/>
          <w:szCs w:val="18"/>
          <w:lang w:val="es-CO"/>
        </w:rPr>
        <w:t>Departamento Administrativo Nacional Estadística</w:t>
      </w:r>
      <w:r w:rsidR="00BA2BD5">
        <w:rPr>
          <w:rFonts w:ascii="Arial Narrow" w:hAnsi="Arial Narrow"/>
          <w:sz w:val="18"/>
          <w:szCs w:val="18"/>
          <w:lang w:val="es-CO"/>
        </w:rPr>
        <w:t xml:space="preserve">- DANE, </w:t>
      </w:r>
      <w:r w:rsidRPr="00D308D4">
        <w:rPr>
          <w:rFonts w:ascii="Arial Narrow" w:hAnsi="Arial Narrow"/>
          <w:sz w:val="18"/>
          <w:szCs w:val="18"/>
          <w:lang w:val="es-CO"/>
        </w:rPr>
        <w:t xml:space="preserve">disponible en el siguiente enlace: </w:t>
      </w:r>
      <w:r w:rsidRPr="00D308D4">
        <w:rPr>
          <w:rFonts w:ascii="Arial Narrow" w:hAnsi="Arial Narrow"/>
          <w:sz w:val="18"/>
          <w:szCs w:val="18"/>
        </w:rPr>
        <w:t>https://www.dane.gov.co/index.php/estadisticas-por-tema/cuentas-nacionales/cuentas-nacionalestrimestrales/historicos-producto-interno-bruto-pib</w:t>
      </w:r>
    </w:p>
  </w:footnote>
  <w:footnote w:id="2">
    <w:p w14:paraId="0F501445" w14:textId="617D4AEC" w:rsidR="00714B23" w:rsidRPr="00714B23" w:rsidRDefault="00714B23" w:rsidP="00714B23">
      <w:pPr>
        <w:pStyle w:val="Textonotapie"/>
        <w:jc w:val="both"/>
        <w:rPr>
          <w:rFonts w:ascii="Arial Narrow" w:hAnsi="Arial Narrow"/>
          <w:i/>
          <w:sz w:val="18"/>
        </w:rPr>
      </w:pPr>
      <w:r w:rsidRPr="00714B23">
        <w:rPr>
          <w:rStyle w:val="Refdenotaalpie"/>
          <w:rFonts w:ascii="Arial Narrow" w:hAnsi="Arial Narrow"/>
          <w:i/>
          <w:sz w:val="18"/>
        </w:rPr>
        <w:footnoteRef/>
      </w:r>
      <w:r w:rsidRPr="00714B23">
        <w:rPr>
          <w:rFonts w:ascii="Arial Narrow" w:hAnsi="Arial Narrow"/>
          <w:i/>
          <w:sz w:val="18"/>
        </w:rPr>
        <w:t xml:space="preserve"> </w:t>
      </w:r>
      <w:r>
        <w:rPr>
          <w:rFonts w:ascii="Arial Narrow" w:hAnsi="Arial Narrow"/>
          <w:i/>
          <w:sz w:val="18"/>
        </w:rPr>
        <w:t>“</w:t>
      </w:r>
      <w:r w:rsidRPr="00714B23">
        <w:rPr>
          <w:rFonts w:ascii="Arial Narrow" w:hAnsi="Arial Narrow"/>
          <w:i/>
          <w:sz w:val="18"/>
        </w:rPr>
        <w:t>ARTÍCULO 24. Dirección Financiera. Son funciones de la Dirección Financiera, las siguientes:</w:t>
      </w:r>
    </w:p>
    <w:p w14:paraId="1CDA1BE2" w14:textId="7A702F02" w:rsidR="00714B23" w:rsidRPr="00714B23" w:rsidRDefault="00714B23" w:rsidP="00714B23">
      <w:pPr>
        <w:pStyle w:val="Textonotapie"/>
        <w:jc w:val="both"/>
        <w:rPr>
          <w:rFonts w:ascii="Arial Narrow" w:hAnsi="Arial Narrow"/>
          <w:i/>
          <w:sz w:val="18"/>
        </w:rPr>
      </w:pPr>
      <w:r w:rsidRPr="00714B23">
        <w:rPr>
          <w:rFonts w:ascii="Arial Narrow" w:hAnsi="Arial Narrow"/>
          <w:i/>
          <w:sz w:val="18"/>
        </w:rPr>
        <w:t>(…)</w:t>
      </w:r>
    </w:p>
    <w:p w14:paraId="6AAA46E2" w14:textId="3CC85E5B" w:rsidR="00714B23" w:rsidRPr="00714B23" w:rsidRDefault="00714B23" w:rsidP="00714B23">
      <w:pPr>
        <w:jc w:val="both"/>
        <w:rPr>
          <w:rFonts w:ascii="Arial Narrow" w:hAnsi="Arial Narrow"/>
          <w:i/>
          <w:sz w:val="18"/>
          <w:lang w:val="es-CO"/>
        </w:rPr>
      </w:pPr>
      <w:r w:rsidRPr="00714B23">
        <w:rPr>
          <w:rFonts w:ascii="Arial Narrow" w:hAnsi="Arial Narrow"/>
          <w:i/>
          <w:sz w:val="18"/>
          <w:lang w:val="es-CO"/>
        </w:rPr>
        <w:t xml:space="preserve">5. Elaborar el proceso de cálculo, fijación, liquidación y recaudo de la Contribución Especial de Vigilancia o aquella que la modifique, remplace o </w:t>
      </w:r>
      <w:proofErr w:type="gramStart"/>
      <w:r w:rsidRPr="00714B23">
        <w:rPr>
          <w:rFonts w:ascii="Arial Narrow" w:hAnsi="Arial Narrow"/>
          <w:i/>
          <w:sz w:val="18"/>
          <w:lang w:val="es-CO"/>
        </w:rPr>
        <w:t>sustituya.(</w:t>
      </w:r>
      <w:proofErr w:type="gramEnd"/>
      <w:r w:rsidRPr="00714B23">
        <w:rPr>
          <w:rFonts w:ascii="Arial Narrow" w:hAnsi="Arial Narrow"/>
          <w:i/>
          <w:sz w:val="18"/>
          <w:lang w:val="es-CO"/>
        </w:rPr>
        <w:t>…)</w:t>
      </w:r>
      <w:r>
        <w:rPr>
          <w:rFonts w:ascii="Arial Narrow" w:hAnsi="Arial Narrow"/>
          <w:i/>
          <w:sz w:val="18"/>
          <w:lang w:val="es-CO"/>
        </w:rPr>
        <w:t>”</w:t>
      </w:r>
    </w:p>
  </w:footnote>
  <w:footnote w:id="3">
    <w:p w14:paraId="3CB7946D" w14:textId="77777777" w:rsidR="00205B9B" w:rsidRPr="00205B9B" w:rsidRDefault="00205B9B" w:rsidP="00205B9B">
      <w:pPr>
        <w:jc w:val="both"/>
        <w:rPr>
          <w:rFonts w:ascii="Arial Narrow" w:hAnsi="Arial Narrow"/>
          <w:sz w:val="18"/>
        </w:rPr>
      </w:pPr>
      <w:r w:rsidRPr="00205B9B">
        <w:rPr>
          <w:rStyle w:val="Refdenotaalpie"/>
          <w:rFonts w:ascii="Arial Narrow" w:hAnsi="Arial Narrow"/>
          <w:sz w:val="18"/>
        </w:rPr>
        <w:footnoteRef/>
      </w:r>
      <w:r w:rsidRPr="00205B9B">
        <w:rPr>
          <w:rFonts w:ascii="Arial Narrow" w:hAnsi="Arial Narrow"/>
          <w:sz w:val="18"/>
        </w:rPr>
        <w:t xml:space="preserve"> </w:t>
      </w:r>
      <w:r>
        <w:rPr>
          <w:rFonts w:ascii="Arial Narrow" w:hAnsi="Arial Narrow"/>
          <w:sz w:val="18"/>
        </w:rPr>
        <w:t>“</w:t>
      </w:r>
      <w:r w:rsidRPr="00205B9B">
        <w:rPr>
          <w:rFonts w:ascii="Arial Narrow" w:hAnsi="Arial Narrow"/>
          <w:sz w:val="18"/>
        </w:rPr>
        <w:t>Por medio de la cual se establecen plazos especiales para el pago de la Contribución Especial de Vigilancia que deben pagar los sujetos supervisados por la Superintendencia de Transporte para la vigencia fiscal del año 2020, con ocasión a la declaratoria de la emergencia económica, social y ecológica por la propagación del virus COVID-19 en el territorio nacional</w:t>
      </w:r>
      <w:r>
        <w:rPr>
          <w:rFonts w:ascii="Arial Narrow" w:hAnsi="Arial Narrow"/>
          <w:sz w:val="18"/>
        </w:rPr>
        <w:t>”</w:t>
      </w:r>
    </w:p>
    <w:p w14:paraId="69C5ED37" w14:textId="77777777" w:rsidR="00205B9B" w:rsidRPr="00205B9B" w:rsidRDefault="00205B9B">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2D1AB" w14:textId="0BBB39CB" w:rsidR="00991E4A" w:rsidRPr="009A3583" w:rsidRDefault="00991E4A" w:rsidP="00EE23E2">
    <w:pPr>
      <w:pStyle w:val="Encabezado"/>
      <w:ind w:right="-91"/>
      <w:jc w:val="center"/>
      <w:rPr>
        <w:rFonts w:ascii="Arial Narrow" w:hAnsi="Arial Narrow" w:cs="Arial"/>
        <w:u w:val="single"/>
      </w:rPr>
    </w:pPr>
    <w:r w:rsidRPr="009A3583">
      <w:rPr>
        <w:rFonts w:ascii="Arial Narrow" w:hAnsi="Arial Narrow" w:cs="Arial"/>
        <w:noProof/>
      </w:rPr>
      <w:t xml:space="preserve">RESOLUCIÓN NÚMERO </w:t>
    </w:r>
    <w:r w:rsidRPr="009A3583">
      <w:rPr>
        <w:rFonts w:ascii="Arial Narrow" w:hAnsi="Arial Narrow" w:cs="Arial"/>
        <w:b/>
      </w:rPr>
      <w:tab/>
    </w:r>
    <w:r w:rsidRPr="009A3583">
      <w:rPr>
        <w:rFonts w:ascii="Arial Narrow" w:hAnsi="Arial Narrow" w:cs="Arial"/>
        <w:b/>
      </w:rPr>
      <w:tab/>
    </w:r>
    <w:r w:rsidRPr="009A3583">
      <w:rPr>
        <w:rFonts w:ascii="Arial Narrow" w:hAnsi="Arial Narrow" w:cs="Arial"/>
      </w:rPr>
      <w:t xml:space="preserve">HOJA No  </w:t>
    </w:r>
    <w:r w:rsidRPr="009A3583">
      <w:rPr>
        <w:rStyle w:val="Nmerodepgina"/>
        <w:rFonts w:ascii="Arial Narrow" w:hAnsi="Arial Narrow" w:cs="Arial"/>
        <w:u w:val="single"/>
      </w:rPr>
      <w:fldChar w:fldCharType="begin"/>
    </w:r>
    <w:r w:rsidRPr="009A3583">
      <w:rPr>
        <w:rStyle w:val="Nmerodepgina"/>
        <w:rFonts w:ascii="Arial Narrow" w:hAnsi="Arial Narrow" w:cs="Arial"/>
        <w:u w:val="single"/>
      </w:rPr>
      <w:instrText xml:space="preserve"> PAGE </w:instrText>
    </w:r>
    <w:r w:rsidRPr="009A3583">
      <w:rPr>
        <w:rStyle w:val="Nmerodepgina"/>
        <w:rFonts w:ascii="Arial Narrow" w:hAnsi="Arial Narrow" w:cs="Arial"/>
        <w:u w:val="single"/>
      </w:rPr>
      <w:fldChar w:fldCharType="separate"/>
    </w:r>
    <w:r w:rsidR="00145DA7">
      <w:rPr>
        <w:rStyle w:val="Nmerodepgina"/>
        <w:rFonts w:ascii="Arial Narrow" w:hAnsi="Arial Narrow" w:cs="Arial"/>
        <w:noProof/>
        <w:u w:val="single"/>
      </w:rPr>
      <w:t>2</w:t>
    </w:r>
    <w:r w:rsidRPr="009A3583">
      <w:rPr>
        <w:rStyle w:val="Nmerodepgina"/>
        <w:rFonts w:ascii="Arial Narrow" w:hAnsi="Arial Narrow" w:cs="Arial"/>
        <w:u w:val="single"/>
      </w:rPr>
      <w:fldChar w:fldCharType="end"/>
    </w:r>
  </w:p>
  <w:p w14:paraId="2EE277F8" w14:textId="77777777" w:rsidR="00991E4A" w:rsidRPr="009A3583" w:rsidRDefault="00991E4A" w:rsidP="00991E4A">
    <w:pPr>
      <w:pStyle w:val="Encabezado"/>
      <w:ind w:right="-91"/>
      <w:jc w:val="center"/>
      <w:rPr>
        <w:rFonts w:ascii="Arial Narrow" w:hAnsi="Arial Narrow" w:cs="Arial"/>
      </w:rPr>
    </w:pPr>
  </w:p>
  <w:p w14:paraId="782312C3" w14:textId="68C7A9BD" w:rsidR="00073929" w:rsidRPr="00D047A4" w:rsidRDefault="00073929" w:rsidP="00BA3A02">
    <w:pPr>
      <w:pBdr>
        <w:bottom w:val="single" w:sz="12" w:space="1" w:color="auto"/>
      </w:pBdr>
      <w:autoSpaceDE w:val="0"/>
      <w:autoSpaceDN w:val="0"/>
      <w:adjustRightInd w:val="0"/>
      <w:jc w:val="center"/>
      <w:rPr>
        <w:rFonts w:ascii="Arial Narrow" w:hAnsi="Arial Narrow" w:cs="Arial"/>
        <w:sz w:val="22"/>
      </w:rPr>
    </w:pPr>
    <w:r w:rsidRPr="00D047A4">
      <w:rPr>
        <w:rFonts w:ascii="Arial Narrow" w:hAnsi="Arial Narrow" w:cs="Arial"/>
        <w:sz w:val="22"/>
        <w:lang w:val="es-ES"/>
      </w:rPr>
      <w:t>Por la cual se establecen las tarifas diferenciales por concepto de Contribución Especial de Vigilancia que deben pagar a la Superintendencia de Transporte la totalidad de los sujetos sometidos a su vigilancia, inspección y control, para la vigencia fiscal 2020.</w:t>
    </w:r>
  </w:p>
  <w:p w14:paraId="339AA6F2" w14:textId="77777777" w:rsidR="00991E4A" w:rsidRDefault="00991E4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EF0B3" w14:textId="77777777" w:rsidR="00991E4A" w:rsidRPr="005265E8" w:rsidRDefault="00991E4A" w:rsidP="00991E4A">
    <w:pPr>
      <w:pStyle w:val="Encabezado"/>
      <w:rPr>
        <w:rFonts w:ascii="Arial Narrow" w:hAnsi="Arial Narrow"/>
        <w:sz w:val="14"/>
      </w:rPr>
    </w:pPr>
  </w:p>
  <w:p w14:paraId="39B4F13F" w14:textId="77777777" w:rsidR="00991E4A" w:rsidRPr="005265E8" w:rsidRDefault="00DB4604" w:rsidP="00991E4A">
    <w:pPr>
      <w:pStyle w:val="Encabezado"/>
      <w:rPr>
        <w:rFonts w:ascii="Arial Narrow" w:hAnsi="Arial Narrow"/>
      </w:rPr>
    </w:pPr>
    <w:r>
      <w:rPr>
        <w:rFonts w:ascii="Arial Narrow" w:hAnsi="Arial Narrow"/>
        <w:noProof/>
        <w:lang w:val="es-CO" w:eastAsia="es-CO"/>
      </w:rPr>
      <w:object w:dxaOrig="1440" w:dyaOrig="1440" w14:anchorId="4D908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3.15pt;margin-top:1.3pt;width:104.25pt;height:57pt;z-index:251658240;visibility:visible;mso-wrap-edited:f" o:allowincell="f">
          <v:imagedata r:id="rId1" o:title=""/>
          <w10:wrap type="topAndBottom"/>
        </v:shape>
        <o:OLEObject Type="Embed" ProgID="Word.Picture.8" ShapeID="_x0000_s2049" DrawAspect="Content" ObjectID="_1665925019" r:id="rId2"/>
      </w:object>
    </w:r>
  </w:p>
  <w:p w14:paraId="6D97DF24" w14:textId="77777777" w:rsidR="00991E4A" w:rsidRPr="005265E8" w:rsidRDefault="00991E4A">
    <w:pPr>
      <w:pStyle w:val="Encabezado"/>
      <w:jc w:val="center"/>
      <w:rPr>
        <w:rFonts w:ascii="Arial Narrow" w:hAnsi="Arial Narrow"/>
      </w:rPr>
    </w:pPr>
  </w:p>
  <w:p w14:paraId="76585F70" w14:textId="77777777" w:rsidR="00991E4A" w:rsidRDefault="00991E4A" w:rsidP="00991E4A">
    <w:pPr>
      <w:pStyle w:val="Encabezado"/>
      <w:spacing w:line="276" w:lineRule="auto"/>
      <w:jc w:val="center"/>
      <w:rPr>
        <w:rFonts w:ascii="Arial Narrow" w:hAnsi="Arial Narrow" w:cs="Arial"/>
        <w:b/>
        <w:sz w:val="24"/>
        <w:szCs w:val="24"/>
      </w:rPr>
    </w:pPr>
  </w:p>
  <w:p w14:paraId="3752332A" w14:textId="77777777" w:rsidR="00991E4A" w:rsidRDefault="00991E4A" w:rsidP="00991E4A">
    <w:pPr>
      <w:pStyle w:val="Encabezado"/>
      <w:spacing w:line="276" w:lineRule="auto"/>
      <w:jc w:val="center"/>
      <w:rPr>
        <w:rFonts w:ascii="Arial Narrow" w:hAnsi="Arial Narrow" w:cs="Arial"/>
        <w:b/>
        <w:sz w:val="24"/>
        <w:szCs w:val="24"/>
      </w:rPr>
    </w:pPr>
  </w:p>
  <w:p w14:paraId="6781A640" w14:textId="77777777" w:rsidR="00991E4A" w:rsidRDefault="00991E4A" w:rsidP="00991E4A">
    <w:pPr>
      <w:pStyle w:val="Encabezado"/>
      <w:spacing w:line="276" w:lineRule="auto"/>
      <w:jc w:val="center"/>
      <w:rPr>
        <w:rFonts w:ascii="Arial Narrow" w:hAnsi="Arial Narrow" w:cs="Arial"/>
        <w:b/>
        <w:sz w:val="24"/>
        <w:szCs w:val="24"/>
      </w:rPr>
    </w:pPr>
  </w:p>
  <w:p w14:paraId="73D3D6D7" w14:textId="77777777" w:rsidR="00991E4A" w:rsidRPr="005265E8" w:rsidRDefault="00991E4A" w:rsidP="00991E4A">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MINISTERIO DE TRANSPORTE</w:t>
    </w:r>
  </w:p>
  <w:p w14:paraId="20E5DE09" w14:textId="77777777" w:rsidR="00991E4A" w:rsidRPr="005265E8" w:rsidRDefault="00991E4A" w:rsidP="00991E4A">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SUPERINTENDENCIA DE TRANSPORTE</w:t>
    </w:r>
  </w:p>
  <w:p w14:paraId="2D83B059" w14:textId="77777777" w:rsidR="00991E4A" w:rsidRPr="005265E8" w:rsidRDefault="00991E4A" w:rsidP="00991E4A">
    <w:pPr>
      <w:pStyle w:val="Encabezado"/>
      <w:spacing w:line="276" w:lineRule="auto"/>
      <w:rPr>
        <w:rFonts w:ascii="Arial Narrow" w:hAnsi="Arial Narrow" w:cs="Arial"/>
        <w:b/>
        <w:sz w:val="24"/>
        <w:szCs w:val="24"/>
      </w:rPr>
    </w:pPr>
  </w:p>
  <w:p w14:paraId="30111F33" w14:textId="77777777" w:rsidR="00991E4A" w:rsidRPr="005265E8" w:rsidRDefault="00991E4A" w:rsidP="00991E4A">
    <w:pPr>
      <w:pStyle w:val="Encabezado"/>
      <w:spacing w:line="276" w:lineRule="auto"/>
      <w:rPr>
        <w:rFonts w:ascii="Arial Narrow" w:hAnsi="Arial Narrow" w:cs="Arial"/>
        <w:b/>
        <w:sz w:val="24"/>
        <w:szCs w:val="24"/>
      </w:rPr>
    </w:pPr>
  </w:p>
  <w:p w14:paraId="1BE6AB57" w14:textId="77777777" w:rsidR="00991E4A" w:rsidRPr="005265E8" w:rsidRDefault="00991E4A" w:rsidP="00991E4A">
    <w:pPr>
      <w:pStyle w:val="Encabezado"/>
      <w:spacing w:line="276" w:lineRule="auto"/>
      <w:rPr>
        <w:rFonts w:ascii="Arial Narrow" w:hAnsi="Arial Narrow"/>
        <w:sz w:val="24"/>
      </w:rPr>
    </w:pPr>
    <w:r w:rsidRPr="005265E8">
      <w:rPr>
        <w:rFonts w:ascii="Arial Narrow" w:hAnsi="Arial Narrow"/>
        <w:sz w:val="24"/>
      </w:rPr>
      <w:t>RESOLUCIÓN NÚMERO</w:t>
    </w:r>
    <w:r w:rsidRPr="005265E8">
      <w:rPr>
        <w:rFonts w:ascii="Arial Narrow" w:hAnsi="Arial Narrow"/>
        <w:sz w:val="24"/>
      </w:rPr>
      <w:tab/>
    </w:r>
  </w:p>
  <w:p w14:paraId="7B47EAD7" w14:textId="77777777" w:rsidR="00991E4A" w:rsidRPr="00C94895" w:rsidRDefault="00991E4A" w:rsidP="00C94895">
    <w:pPr>
      <w:pStyle w:val="Encabezado"/>
      <w:rPr>
        <w:rFonts w:ascii="Arial Narrow" w:hAnsi="Arial Narrow"/>
        <w:b/>
        <w:sz w:val="24"/>
      </w:rPr>
    </w:pPr>
    <w:r w:rsidRPr="005265E8">
      <w:rPr>
        <w:rFonts w:ascii="Arial Narrow" w:hAnsi="Arial Narrow"/>
        <w:sz w:val="24"/>
      </w:rPr>
      <w:tab/>
    </w:r>
    <w:r w:rsidRPr="005265E8">
      <w:rPr>
        <w:rFonts w:ascii="Arial Narrow" w:hAnsi="Arial Narrow"/>
        <w:b/>
        <w:sz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93C"/>
    <w:multiLevelType w:val="multilevel"/>
    <w:tmpl w:val="B902271C"/>
    <w:lvl w:ilvl="0">
      <w:start w:val="1"/>
      <w:numFmt w:val="decimal"/>
      <w:lvlText w:val="%1."/>
      <w:lvlJc w:val="left"/>
      <w:pPr>
        <w:ind w:left="786"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143204C"/>
    <w:multiLevelType w:val="multilevel"/>
    <w:tmpl w:val="8892DC7C"/>
    <w:lvl w:ilvl="0">
      <w:start w:val="6"/>
      <w:numFmt w:val="decimal"/>
      <w:lvlText w:val="%1."/>
      <w:lvlJc w:val="left"/>
      <w:pPr>
        <w:ind w:left="390" w:hanging="390"/>
      </w:pPr>
      <w:rPr>
        <w:rFonts w:cs="Arial" w:hint="default"/>
      </w:rPr>
    </w:lvl>
    <w:lvl w:ilvl="1">
      <w:start w:val="1"/>
      <w:numFmt w:val="decimal"/>
      <w:lvlText w:val="%1.%2."/>
      <w:lvlJc w:val="left"/>
      <w:pPr>
        <w:ind w:left="1288"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2" w15:restartNumberingAfterBreak="0">
    <w:nsid w:val="16E05715"/>
    <w:multiLevelType w:val="multilevel"/>
    <w:tmpl w:val="0F463706"/>
    <w:lvl w:ilvl="0">
      <w:start w:val="4"/>
      <w:numFmt w:val="decimal"/>
      <w:lvlText w:val="%1."/>
      <w:lvlJc w:val="left"/>
      <w:pPr>
        <w:ind w:left="390" w:hanging="390"/>
      </w:pPr>
      <w:rPr>
        <w:rFonts w:hint="default"/>
        <w:b/>
        <w:u w:val="single"/>
      </w:rPr>
    </w:lvl>
    <w:lvl w:ilvl="1">
      <w:start w:val="1"/>
      <w:numFmt w:val="decimal"/>
      <w:lvlText w:val="%1.%2."/>
      <w:lvlJc w:val="left"/>
      <w:pPr>
        <w:ind w:left="1288"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3" w15:restartNumberingAfterBreak="0">
    <w:nsid w:val="341D77F3"/>
    <w:multiLevelType w:val="hybridMultilevel"/>
    <w:tmpl w:val="37588612"/>
    <w:lvl w:ilvl="0" w:tplc="EFB23450">
      <w:start w:val="100"/>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2A470F"/>
    <w:multiLevelType w:val="multilevel"/>
    <w:tmpl w:val="1D103B48"/>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5" w15:restartNumberingAfterBreak="0">
    <w:nsid w:val="62366E9A"/>
    <w:multiLevelType w:val="hybridMultilevel"/>
    <w:tmpl w:val="ADCE5FA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09"/>
    <w:rsid w:val="00010E84"/>
    <w:rsid w:val="00012D46"/>
    <w:rsid w:val="000140D2"/>
    <w:rsid w:val="00016942"/>
    <w:rsid w:val="00030904"/>
    <w:rsid w:val="0003131A"/>
    <w:rsid w:val="0003356F"/>
    <w:rsid w:val="00055ECD"/>
    <w:rsid w:val="00056F61"/>
    <w:rsid w:val="00073929"/>
    <w:rsid w:val="00080B30"/>
    <w:rsid w:val="00084E7B"/>
    <w:rsid w:val="000866F1"/>
    <w:rsid w:val="000923A1"/>
    <w:rsid w:val="0009528A"/>
    <w:rsid w:val="000A3120"/>
    <w:rsid w:val="000A7CDB"/>
    <w:rsid w:val="000B6B6B"/>
    <w:rsid w:val="000B7903"/>
    <w:rsid w:val="000D1850"/>
    <w:rsid w:val="000D38EF"/>
    <w:rsid w:val="000F4D4F"/>
    <w:rsid w:val="000F57D0"/>
    <w:rsid w:val="0010786A"/>
    <w:rsid w:val="00136B93"/>
    <w:rsid w:val="00145DA7"/>
    <w:rsid w:val="001717BA"/>
    <w:rsid w:val="001805AE"/>
    <w:rsid w:val="001876D6"/>
    <w:rsid w:val="001C1595"/>
    <w:rsid w:val="001C5505"/>
    <w:rsid w:val="001D46F1"/>
    <w:rsid w:val="001E3B8E"/>
    <w:rsid w:val="001F72D1"/>
    <w:rsid w:val="00205B9B"/>
    <w:rsid w:val="00207306"/>
    <w:rsid w:val="00221FE8"/>
    <w:rsid w:val="00246A71"/>
    <w:rsid w:val="00254577"/>
    <w:rsid w:val="0029129A"/>
    <w:rsid w:val="002B3EE9"/>
    <w:rsid w:val="002C34FA"/>
    <w:rsid w:val="002C4CA5"/>
    <w:rsid w:val="002D1F3C"/>
    <w:rsid w:val="002E3319"/>
    <w:rsid w:val="002F4170"/>
    <w:rsid w:val="003223A2"/>
    <w:rsid w:val="0036603D"/>
    <w:rsid w:val="003677EF"/>
    <w:rsid w:val="00375637"/>
    <w:rsid w:val="003812AF"/>
    <w:rsid w:val="00381D9B"/>
    <w:rsid w:val="003B6999"/>
    <w:rsid w:val="003D57E0"/>
    <w:rsid w:val="0040664C"/>
    <w:rsid w:val="00421557"/>
    <w:rsid w:val="00437409"/>
    <w:rsid w:val="00466B8C"/>
    <w:rsid w:val="0047393B"/>
    <w:rsid w:val="004B4CE9"/>
    <w:rsid w:val="004B654A"/>
    <w:rsid w:val="004C2D56"/>
    <w:rsid w:val="004D140C"/>
    <w:rsid w:val="004D3CE9"/>
    <w:rsid w:val="004E6CED"/>
    <w:rsid w:val="005004D1"/>
    <w:rsid w:val="00503770"/>
    <w:rsid w:val="0052420B"/>
    <w:rsid w:val="00530A45"/>
    <w:rsid w:val="00544767"/>
    <w:rsid w:val="00594A4E"/>
    <w:rsid w:val="0060070A"/>
    <w:rsid w:val="00636CD0"/>
    <w:rsid w:val="006520B2"/>
    <w:rsid w:val="00672213"/>
    <w:rsid w:val="00677735"/>
    <w:rsid w:val="00692950"/>
    <w:rsid w:val="0069442E"/>
    <w:rsid w:val="006A7386"/>
    <w:rsid w:val="006E5223"/>
    <w:rsid w:val="006F0908"/>
    <w:rsid w:val="00711FF7"/>
    <w:rsid w:val="00713D61"/>
    <w:rsid w:val="00714B23"/>
    <w:rsid w:val="007305FE"/>
    <w:rsid w:val="00734D8A"/>
    <w:rsid w:val="007430B3"/>
    <w:rsid w:val="00765C22"/>
    <w:rsid w:val="00774910"/>
    <w:rsid w:val="007766B6"/>
    <w:rsid w:val="00783005"/>
    <w:rsid w:val="007B1D75"/>
    <w:rsid w:val="007E177A"/>
    <w:rsid w:val="007E38F2"/>
    <w:rsid w:val="007F7D86"/>
    <w:rsid w:val="008339A1"/>
    <w:rsid w:val="00836943"/>
    <w:rsid w:val="008438FB"/>
    <w:rsid w:val="00857200"/>
    <w:rsid w:val="00893CE0"/>
    <w:rsid w:val="00894082"/>
    <w:rsid w:val="00896CAD"/>
    <w:rsid w:val="008A14C9"/>
    <w:rsid w:val="008A2009"/>
    <w:rsid w:val="008D73EC"/>
    <w:rsid w:val="008E676C"/>
    <w:rsid w:val="008F0DC0"/>
    <w:rsid w:val="008F1778"/>
    <w:rsid w:val="00915F04"/>
    <w:rsid w:val="00924EC8"/>
    <w:rsid w:val="0095706A"/>
    <w:rsid w:val="00974AFC"/>
    <w:rsid w:val="0098024E"/>
    <w:rsid w:val="009818D4"/>
    <w:rsid w:val="00991E4A"/>
    <w:rsid w:val="009A27C1"/>
    <w:rsid w:val="009B5156"/>
    <w:rsid w:val="009C08E7"/>
    <w:rsid w:val="009D6173"/>
    <w:rsid w:val="00A0456E"/>
    <w:rsid w:val="00A12044"/>
    <w:rsid w:val="00A17400"/>
    <w:rsid w:val="00A23609"/>
    <w:rsid w:val="00A27130"/>
    <w:rsid w:val="00A463B2"/>
    <w:rsid w:val="00A57234"/>
    <w:rsid w:val="00A61F83"/>
    <w:rsid w:val="00A6447D"/>
    <w:rsid w:val="00A90479"/>
    <w:rsid w:val="00AA1AE6"/>
    <w:rsid w:val="00AA1DCB"/>
    <w:rsid w:val="00AA226F"/>
    <w:rsid w:val="00AD6493"/>
    <w:rsid w:val="00AF6497"/>
    <w:rsid w:val="00B229F1"/>
    <w:rsid w:val="00B6642B"/>
    <w:rsid w:val="00B73DFF"/>
    <w:rsid w:val="00B9389F"/>
    <w:rsid w:val="00BA2BD5"/>
    <w:rsid w:val="00BA2BE4"/>
    <w:rsid w:val="00BA3A02"/>
    <w:rsid w:val="00BD1920"/>
    <w:rsid w:val="00BE5C0D"/>
    <w:rsid w:val="00BF6779"/>
    <w:rsid w:val="00BF772C"/>
    <w:rsid w:val="00C2386D"/>
    <w:rsid w:val="00C56C35"/>
    <w:rsid w:val="00C604C7"/>
    <w:rsid w:val="00C6062C"/>
    <w:rsid w:val="00C66977"/>
    <w:rsid w:val="00C71DEC"/>
    <w:rsid w:val="00C76E8E"/>
    <w:rsid w:val="00C9091A"/>
    <w:rsid w:val="00C94895"/>
    <w:rsid w:val="00CA10F7"/>
    <w:rsid w:val="00CA219C"/>
    <w:rsid w:val="00CA5751"/>
    <w:rsid w:val="00CB36C0"/>
    <w:rsid w:val="00CB4161"/>
    <w:rsid w:val="00CC5C91"/>
    <w:rsid w:val="00D047A4"/>
    <w:rsid w:val="00D308D4"/>
    <w:rsid w:val="00D5641D"/>
    <w:rsid w:val="00D67910"/>
    <w:rsid w:val="00D84A4A"/>
    <w:rsid w:val="00D90B14"/>
    <w:rsid w:val="00DA3710"/>
    <w:rsid w:val="00DA77D6"/>
    <w:rsid w:val="00DB4604"/>
    <w:rsid w:val="00DB59E7"/>
    <w:rsid w:val="00DD78B6"/>
    <w:rsid w:val="00E005AD"/>
    <w:rsid w:val="00E32B05"/>
    <w:rsid w:val="00E6016F"/>
    <w:rsid w:val="00E7687B"/>
    <w:rsid w:val="00E8037E"/>
    <w:rsid w:val="00EA76FB"/>
    <w:rsid w:val="00EE23E2"/>
    <w:rsid w:val="00EF4B2B"/>
    <w:rsid w:val="00F1103C"/>
    <w:rsid w:val="00F24903"/>
    <w:rsid w:val="00F357AC"/>
    <w:rsid w:val="00F40E11"/>
    <w:rsid w:val="00F43F88"/>
    <w:rsid w:val="00F46B6D"/>
    <w:rsid w:val="00F508EE"/>
    <w:rsid w:val="00F50AC9"/>
    <w:rsid w:val="00F5153C"/>
    <w:rsid w:val="00F53A2D"/>
    <w:rsid w:val="00F668E5"/>
    <w:rsid w:val="00F80021"/>
    <w:rsid w:val="00FD0F56"/>
    <w:rsid w:val="00FF04B2"/>
    <w:rsid w:val="00FF2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37A4F9"/>
  <w15:docId w15:val="{5D09FF83-BB92-42B6-B10A-F7069542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409"/>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37409"/>
  </w:style>
  <w:style w:type="paragraph" w:styleId="Encabezado">
    <w:name w:val="header"/>
    <w:basedOn w:val="Normal"/>
    <w:link w:val="EncabezadoCar"/>
    <w:rsid w:val="00437409"/>
    <w:pPr>
      <w:tabs>
        <w:tab w:val="center" w:pos="4252"/>
        <w:tab w:val="right" w:pos="8504"/>
      </w:tabs>
    </w:pPr>
  </w:style>
  <w:style w:type="character" w:customStyle="1" w:styleId="EncabezadoCar">
    <w:name w:val="Encabezado Car"/>
    <w:basedOn w:val="Fuentedeprrafopredeter"/>
    <w:link w:val="Encabezado"/>
    <w:rsid w:val="0043740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437409"/>
    <w:pPr>
      <w:ind w:left="720"/>
      <w:contextualSpacing/>
    </w:pPr>
    <w:rPr>
      <w:rFonts w:ascii="Courier" w:hAnsi="Courier"/>
      <w:sz w:val="24"/>
    </w:rPr>
  </w:style>
  <w:style w:type="paragraph" w:styleId="Textodeglobo">
    <w:name w:val="Balloon Text"/>
    <w:basedOn w:val="Normal"/>
    <w:link w:val="TextodegloboCar"/>
    <w:uiPriority w:val="99"/>
    <w:semiHidden/>
    <w:unhideWhenUsed/>
    <w:rsid w:val="002B3EE9"/>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EE9"/>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C94895"/>
    <w:pPr>
      <w:tabs>
        <w:tab w:val="center" w:pos="4419"/>
        <w:tab w:val="right" w:pos="8838"/>
      </w:tabs>
    </w:pPr>
  </w:style>
  <w:style w:type="character" w:customStyle="1" w:styleId="PiedepginaCar">
    <w:name w:val="Pie de página Car"/>
    <w:basedOn w:val="Fuentedeprrafopredeter"/>
    <w:link w:val="Piedepgina"/>
    <w:uiPriority w:val="99"/>
    <w:rsid w:val="00C94895"/>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2C4CA5"/>
    <w:rPr>
      <w:sz w:val="16"/>
      <w:szCs w:val="16"/>
    </w:rPr>
  </w:style>
  <w:style w:type="paragraph" w:styleId="Textocomentario">
    <w:name w:val="annotation text"/>
    <w:basedOn w:val="Normal"/>
    <w:link w:val="TextocomentarioCar"/>
    <w:uiPriority w:val="99"/>
    <w:semiHidden/>
    <w:unhideWhenUsed/>
    <w:rsid w:val="002C4CA5"/>
  </w:style>
  <w:style w:type="character" w:customStyle="1" w:styleId="TextocomentarioCar">
    <w:name w:val="Texto comentario Car"/>
    <w:basedOn w:val="Fuentedeprrafopredeter"/>
    <w:link w:val="Textocomentario"/>
    <w:uiPriority w:val="99"/>
    <w:semiHidden/>
    <w:rsid w:val="002C4CA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C4CA5"/>
    <w:rPr>
      <w:b/>
      <w:bCs/>
    </w:rPr>
  </w:style>
  <w:style w:type="character" w:customStyle="1" w:styleId="AsuntodelcomentarioCar">
    <w:name w:val="Asunto del comentario Car"/>
    <w:basedOn w:val="TextocomentarioCar"/>
    <w:link w:val="Asuntodelcomentario"/>
    <w:uiPriority w:val="99"/>
    <w:semiHidden/>
    <w:rsid w:val="002C4CA5"/>
    <w:rPr>
      <w:rFonts w:ascii="Times New Roman" w:eastAsia="Times New Roman" w:hAnsi="Times New Roman" w:cs="Times New Roman"/>
      <w:b/>
      <w:bCs/>
      <w:sz w:val="20"/>
      <w:szCs w:val="20"/>
      <w:lang w:val="es-ES_tradnl" w:eastAsia="es-ES"/>
    </w:rPr>
  </w:style>
  <w:style w:type="paragraph" w:styleId="Textonotapie">
    <w:name w:val="footnote text"/>
    <w:basedOn w:val="Normal"/>
    <w:link w:val="TextonotapieCar"/>
    <w:uiPriority w:val="99"/>
    <w:semiHidden/>
    <w:unhideWhenUsed/>
    <w:rsid w:val="00205B9B"/>
  </w:style>
  <w:style w:type="character" w:customStyle="1" w:styleId="TextonotapieCar">
    <w:name w:val="Texto nota pie Car"/>
    <w:basedOn w:val="Fuentedeprrafopredeter"/>
    <w:link w:val="Textonotapie"/>
    <w:uiPriority w:val="99"/>
    <w:semiHidden/>
    <w:rsid w:val="00205B9B"/>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205B9B"/>
    <w:rPr>
      <w:vertAlign w:val="superscript"/>
    </w:rPr>
  </w:style>
  <w:style w:type="character" w:styleId="Hipervnculo">
    <w:name w:val="Hyperlink"/>
    <w:basedOn w:val="Fuentedeprrafopredeter"/>
    <w:uiPriority w:val="99"/>
    <w:unhideWhenUsed/>
    <w:rsid w:val="00207306"/>
    <w:rPr>
      <w:color w:val="0000FF" w:themeColor="hyperlink"/>
      <w:u w:val="single"/>
    </w:rPr>
  </w:style>
  <w:style w:type="paragraph" w:styleId="Sinespaciado">
    <w:name w:val="No Spacing"/>
    <w:uiPriority w:val="1"/>
    <w:qFormat/>
    <w:rsid w:val="0003356F"/>
    <w:pPr>
      <w:spacing w:after="0" w:line="240" w:lineRule="auto"/>
    </w:pPr>
    <w:rPr>
      <w:rFonts w:ascii="Times New Roman" w:eastAsia="Times New Roman" w:hAnsi="Times New Roman" w:cs="Times New Roman"/>
      <w:sz w:val="20"/>
      <w:szCs w:val="20"/>
      <w:lang w:val="es-ES_tradnl" w:eastAsia="es-ES"/>
    </w:rPr>
  </w:style>
  <w:style w:type="paragraph" w:styleId="Revisin">
    <w:name w:val="Revision"/>
    <w:hidden/>
    <w:uiPriority w:val="99"/>
    <w:semiHidden/>
    <w:rsid w:val="00073929"/>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8256">
      <w:bodyDiv w:val="1"/>
      <w:marLeft w:val="0"/>
      <w:marRight w:val="0"/>
      <w:marTop w:val="0"/>
      <w:marBottom w:val="0"/>
      <w:divBdr>
        <w:top w:val="none" w:sz="0" w:space="0" w:color="auto"/>
        <w:left w:val="none" w:sz="0" w:space="0" w:color="auto"/>
        <w:bottom w:val="none" w:sz="0" w:space="0" w:color="auto"/>
        <w:right w:val="none" w:sz="0" w:space="0" w:color="auto"/>
      </w:divBdr>
    </w:div>
    <w:div w:id="527959124">
      <w:bodyDiv w:val="1"/>
      <w:marLeft w:val="0"/>
      <w:marRight w:val="0"/>
      <w:marTop w:val="0"/>
      <w:marBottom w:val="0"/>
      <w:divBdr>
        <w:top w:val="none" w:sz="0" w:space="0" w:color="auto"/>
        <w:left w:val="none" w:sz="0" w:space="0" w:color="auto"/>
        <w:bottom w:val="none" w:sz="0" w:space="0" w:color="auto"/>
        <w:right w:val="none" w:sz="0" w:space="0" w:color="auto"/>
      </w:divBdr>
    </w:div>
    <w:div w:id="776561113">
      <w:bodyDiv w:val="1"/>
      <w:marLeft w:val="0"/>
      <w:marRight w:val="0"/>
      <w:marTop w:val="0"/>
      <w:marBottom w:val="0"/>
      <w:divBdr>
        <w:top w:val="none" w:sz="0" w:space="0" w:color="auto"/>
        <w:left w:val="none" w:sz="0" w:space="0" w:color="auto"/>
        <w:bottom w:val="none" w:sz="0" w:space="0" w:color="auto"/>
        <w:right w:val="none" w:sz="0" w:space="0" w:color="auto"/>
      </w:divBdr>
    </w:div>
    <w:div w:id="1172647575">
      <w:bodyDiv w:val="1"/>
      <w:marLeft w:val="0"/>
      <w:marRight w:val="0"/>
      <w:marTop w:val="0"/>
      <w:marBottom w:val="0"/>
      <w:divBdr>
        <w:top w:val="none" w:sz="0" w:space="0" w:color="auto"/>
        <w:left w:val="none" w:sz="0" w:space="0" w:color="auto"/>
        <w:bottom w:val="none" w:sz="0" w:space="0" w:color="auto"/>
        <w:right w:val="none" w:sz="0" w:space="0" w:color="auto"/>
      </w:divBdr>
    </w:div>
    <w:div w:id="1471635423">
      <w:bodyDiv w:val="1"/>
      <w:marLeft w:val="0"/>
      <w:marRight w:val="0"/>
      <w:marTop w:val="0"/>
      <w:marBottom w:val="0"/>
      <w:divBdr>
        <w:top w:val="none" w:sz="0" w:space="0" w:color="auto"/>
        <w:left w:val="none" w:sz="0" w:space="0" w:color="auto"/>
        <w:bottom w:val="none" w:sz="0" w:space="0" w:color="auto"/>
        <w:right w:val="none" w:sz="0" w:space="0" w:color="auto"/>
      </w:divBdr>
    </w:div>
    <w:div w:id="17742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B819-96FF-4F34-815F-0ECE1119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4357</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mendoza</dc:creator>
  <cp:lastModifiedBy>Diana Paola Suarez Mendez</cp:lastModifiedBy>
  <cp:revision>3</cp:revision>
  <dcterms:created xsi:type="dcterms:W3CDTF">2020-11-03T21:04:00Z</dcterms:created>
  <dcterms:modified xsi:type="dcterms:W3CDTF">2020-11-03T21:11:00Z</dcterms:modified>
</cp:coreProperties>
</file>